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13876" w14:textId="7E50F8DE" w:rsidR="00A1359E" w:rsidRPr="00C3512E" w:rsidRDefault="00A1359E" w:rsidP="00A1359E">
      <w:pPr>
        <w:jc w:val="right"/>
        <w:rPr>
          <w:rFonts w:ascii="Arial" w:hAnsi="Arial" w:cs="Arial"/>
          <w:sz w:val="20"/>
          <w:szCs w:val="20"/>
          <w:lang w:eastAsia="lt-LT"/>
        </w:rPr>
      </w:pPr>
      <w:r w:rsidRPr="00C3512E">
        <w:rPr>
          <w:rFonts w:ascii="Arial" w:hAnsi="Arial" w:cs="Arial"/>
          <w:sz w:val="20"/>
          <w:szCs w:val="20"/>
          <w:lang w:eastAsia="lt-LT"/>
        </w:rPr>
        <w:t xml:space="preserve">SPS </w:t>
      </w:r>
      <w:r w:rsidR="005527EF" w:rsidRPr="00C3512E">
        <w:rPr>
          <w:rFonts w:ascii="Arial" w:hAnsi="Arial" w:cs="Arial"/>
          <w:sz w:val="20"/>
          <w:szCs w:val="20"/>
          <w:lang w:eastAsia="lt-LT"/>
        </w:rPr>
        <w:t>1</w:t>
      </w:r>
      <w:r w:rsidR="00A44845">
        <w:rPr>
          <w:rFonts w:ascii="Arial" w:hAnsi="Arial" w:cs="Arial"/>
          <w:sz w:val="20"/>
          <w:szCs w:val="20"/>
          <w:lang w:eastAsia="lt-LT"/>
        </w:rPr>
        <w:t>3</w:t>
      </w:r>
      <w:r w:rsidRPr="00C3512E">
        <w:rPr>
          <w:rFonts w:ascii="Arial" w:hAnsi="Arial" w:cs="Arial"/>
          <w:sz w:val="20"/>
          <w:szCs w:val="20"/>
          <w:lang w:eastAsia="lt-LT"/>
        </w:rPr>
        <w:t xml:space="preserve"> priedas</w:t>
      </w:r>
      <w:r w:rsidR="005527EF" w:rsidRPr="00C3512E">
        <w:rPr>
          <w:rFonts w:ascii="Arial" w:hAnsi="Arial" w:cs="Arial"/>
          <w:sz w:val="20"/>
          <w:szCs w:val="20"/>
          <w:lang w:eastAsia="lt-LT"/>
        </w:rPr>
        <w:t xml:space="preserve"> </w:t>
      </w:r>
      <w:r w:rsidRPr="00C3512E">
        <w:rPr>
          <w:rFonts w:ascii="Arial" w:hAnsi="Arial" w:cs="Arial"/>
          <w:sz w:val="20"/>
          <w:szCs w:val="20"/>
          <w:lang w:eastAsia="lt-LT"/>
        </w:rPr>
        <w:t>/</w:t>
      </w:r>
      <w:r w:rsidR="005527EF" w:rsidRPr="00C3512E">
        <w:rPr>
          <w:rFonts w:ascii="Arial" w:hAnsi="Arial" w:cs="Arial"/>
          <w:sz w:val="20"/>
          <w:szCs w:val="20"/>
          <w:lang w:eastAsia="lt-LT"/>
        </w:rPr>
        <w:t xml:space="preserve"> </w:t>
      </w:r>
      <w:r w:rsidRPr="00C3512E">
        <w:rPr>
          <w:rFonts w:ascii="Arial" w:hAnsi="Arial" w:cs="Arial"/>
          <w:sz w:val="20"/>
          <w:szCs w:val="20"/>
          <w:lang w:val="en-US" w:eastAsia="lt-LT"/>
        </w:rPr>
        <w:t>Annex</w:t>
      </w:r>
      <w:r w:rsidR="00B0136A" w:rsidRPr="00C3512E">
        <w:rPr>
          <w:rFonts w:ascii="Arial" w:hAnsi="Arial" w:cs="Arial"/>
          <w:sz w:val="20"/>
          <w:szCs w:val="20"/>
          <w:lang w:val="en-US" w:eastAsia="lt-LT"/>
        </w:rPr>
        <w:t xml:space="preserve"> </w:t>
      </w:r>
      <w:r w:rsidR="005527EF" w:rsidRPr="00C3512E">
        <w:rPr>
          <w:rFonts w:ascii="Arial" w:hAnsi="Arial" w:cs="Arial"/>
          <w:sz w:val="20"/>
          <w:szCs w:val="20"/>
          <w:lang w:val="en-US" w:eastAsia="lt-LT"/>
        </w:rPr>
        <w:t>1</w:t>
      </w:r>
      <w:r w:rsidR="00A44845">
        <w:rPr>
          <w:rFonts w:ascii="Arial" w:hAnsi="Arial" w:cs="Arial"/>
          <w:sz w:val="20"/>
          <w:szCs w:val="20"/>
          <w:lang w:val="en-US" w:eastAsia="lt-LT"/>
        </w:rPr>
        <w:t>3</w:t>
      </w:r>
      <w:r w:rsidR="002C123C" w:rsidRPr="00C3512E">
        <w:rPr>
          <w:rFonts w:ascii="Arial" w:hAnsi="Arial" w:cs="Arial"/>
          <w:sz w:val="20"/>
          <w:szCs w:val="20"/>
          <w:lang w:val="en-US" w:eastAsia="lt-LT"/>
        </w:rPr>
        <w:t xml:space="preserve"> </w:t>
      </w:r>
      <w:r w:rsidRPr="00C3512E">
        <w:rPr>
          <w:rFonts w:ascii="Arial" w:hAnsi="Arial" w:cs="Arial"/>
          <w:sz w:val="20"/>
          <w:szCs w:val="20"/>
          <w:lang w:val="en-US" w:eastAsia="lt-LT"/>
        </w:rPr>
        <w:t>to the</w:t>
      </w:r>
      <w:r w:rsidRPr="00C3512E">
        <w:rPr>
          <w:rFonts w:ascii="Arial" w:hAnsi="Arial" w:cs="Arial"/>
          <w:sz w:val="20"/>
          <w:szCs w:val="20"/>
          <w:lang w:eastAsia="lt-LT"/>
        </w:rPr>
        <w:t xml:space="preserve"> SPC</w:t>
      </w:r>
    </w:p>
    <w:p w14:paraId="791AF73E" w14:textId="77777777" w:rsidR="00A1359E" w:rsidRDefault="00A1359E"/>
    <w:tbl>
      <w:tblPr>
        <w:tblStyle w:val="TableGrid"/>
        <w:tblW w:w="5000" w:type="pct"/>
        <w:tblLook w:val="04A0" w:firstRow="1" w:lastRow="0" w:firstColumn="1" w:lastColumn="0" w:noHBand="0" w:noVBand="1"/>
      </w:tblPr>
      <w:tblGrid>
        <w:gridCol w:w="445"/>
        <w:gridCol w:w="7650"/>
        <w:gridCol w:w="7568"/>
      </w:tblGrid>
      <w:tr w:rsidR="00A1359E" w:rsidRPr="007C3D8C" w14:paraId="07C9FFEC" w14:textId="77777777" w:rsidTr="00E8313C">
        <w:trPr>
          <w:trHeight w:val="418"/>
        </w:trPr>
        <w:tc>
          <w:tcPr>
            <w:tcW w:w="142" w:type="pct"/>
          </w:tcPr>
          <w:p w14:paraId="7A3F363B" w14:textId="77777777" w:rsidR="00A1359E" w:rsidRPr="007C3D8C" w:rsidRDefault="00A1359E" w:rsidP="007C3D8C">
            <w:pPr>
              <w:tabs>
                <w:tab w:val="left" w:pos="851"/>
              </w:tabs>
              <w:jc w:val="center"/>
              <w:rPr>
                <w:rFonts w:ascii="Arial" w:hAnsi="Arial" w:cs="Arial"/>
                <w:b/>
                <w:bCs/>
                <w:sz w:val="20"/>
                <w:szCs w:val="20"/>
              </w:rPr>
            </w:pPr>
            <w:bookmarkStart w:id="0" w:name="_Hlk53645122"/>
          </w:p>
        </w:tc>
        <w:tc>
          <w:tcPr>
            <w:tcW w:w="4858" w:type="pct"/>
            <w:gridSpan w:val="2"/>
          </w:tcPr>
          <w:p w14:paraId="2B4BFD95" w14:textId="362E2AB4" w:rsidR="00A1359E" w:rsidRPr="007C3D8C" w:rsidRDefault="00A1359E" w:rsidP="007C3D8C">
            <w:pPr>
              <w:tabs>
                <w:tab w:val="left" w:pos="851"/>
              </w:tabs>
              <w:jc w:val="center"/>
              <w:rPr>
                <w:rFonts w:ascii="Arial" w:hAnsi="Arial" w:cs="Arial"/>
                <w:sz w:val="20"/>
                <w:szCs w:val="20"/>
              </w:rPr>
            </w:pPr>
            <w:r w:rsidRPr="007C3D8C">
              <w:rPr>
                <w:rFonts w:ascii="Arial" w:hAnsi="Arial" w:cs="Arial"/>
                <w:b/>
                <w:bCs/>
                <w:sz w:val="20"/>
                <w:szCs w:val="20"/>
              </w:rPr>
              <w:t xml:space="preserve">EKONOMIŠKAI NAUDINGIAUSIO PASIŪLYMO VERTINIMO METODIKA/ </w:t>
            </w:r>
          </w:p>
          <w:p w14:paraId="1D4C00DE" w14:textId="77777777" w:rsidR="00A1359E" w:rsidRPr="007C3D8C" w:rsidRDefault="00A1359E" w:rsidP="007C3D8C">
            <w:pPr>
              <w:tabs>
                <w:tab w:val="left" w:pos="851"/>
              </w:tabs>
              <w:jc w:val="center"/>
              <w:rPr>
                <w:rFonts w:ascii="Arial" w:hAnsi="Arial" w:cs="Arial"/>
                <w:sz w:val="20"/>
                <w:szCs w:val="20"/>
              </w:rPr>
            </w:pPr>
            <w:r w:rsidRPr="007C3D8C">
              <w:rPr>
                <w:rFonts w:ascii="Arial" w:hAnsi="Arial" w:cs="Arial"/>
                <w:b/>
                <w:bCs/>
                <w:sz w:val="20"/>
                <w:szCs w:val="20"/>
              </w:rPr>
              <w:t>METHODOLOGY FOR EVALUATING THE MOST ECONOMICALLY ADVANTAGEOUS TENDER</w:t>
            </w:r>
          </w:p>
        </w:tc>
      </w:tr>
      <w:tr w:rsidR="00A1359E" w:rsidRPr="007C3D8C" w14:paraId="2728F643" w14:textId="77777777" w:rsidTr="002422E2">
        <w:trPr>
          <w:trHeight w:val="647"/>
        </w:trPr>
        <w:tc>
          <w:tcPr>
            <w:tcW w:w="142" w:type="pct"/>
          </w:tcPr>
          <w:p w14:paraId="20FC3A46" w14:textId="0ACC1C35" w:rsidR="00A1359E" w:rsidRPr="00A1359E" w:rsidRDefault="00A1359E" w:rsidP="00A1359E">
            <w:pPr>
              <w:numPr>
                <w:ilvl w:val="0"/>
                <w:numId w:val="1"/>
              </w:numPr>
              <w:tabs>
                <w:tab w:val="left" w:pos="851"/>
              </w:tabs>
              <w:jc w:val="both"/>
              <w:rPr>
                <w:rFonts w:ascii="Arial" w:hAnsi="Arial" w:cs="Arial"/>
                <w:sz w:val="20"/>
                <w:szCs w:val="20"/>
              </w:rPr>
            </w:pPr>
          </w:p>
        </w:tc>
        <w:tc>
          <w:tcPr>
            <w:tcW w:w="2442" w:type="pct"/>
          </w:tcPr>
          <w:p w14:paraId="319C10FE" w14:textId="10207FA0" w:rsidR="00A1359E" w:rsidRPr="007C3D8C" w:rsidRDefault="00A1359E" w:rsidP="00B0136A">
            <w:pPr>
              <w:tabs>
                <w:tab w:val="left" w:pos="851"/>
              </w:tabs>
              <w:jc w:val="both"/>
              <w:rPr>
                <w:rFonts w:ascii="Arial" w:hAnsi="Arial" w:cs="Arial"/>
                <w:sz w:val="20"/>
                <w:szCs w:val="20"/>
              </w:rPr>
            </w:pPr>
            <w:r w:rsidRPr="00A1359E">
              <w:rPr>
                <w:rFonts w:ascii="Arial" w:hAnsi="Arial" w:cs="Arial"/>
                <w:sz w:val="20"/>
                <w:szCs w:val="20"/>
              </w:rPr>
              <w:t xml:space="preserve">Šiame </w:t>
            </w:r>
            <w:r>
              <w:rPr>
                <w:rFonts w:ascii="Arial" w:hAnsi="Arial" w:cs="Arial"/>
                <w:sz w:val="20"/>
                <w:szCs w:val="20"/>
              </w:rPr>
              <w:t xml:space="preserve">SPS </w:t>
            </w:r>
            <w:r w:rsidRPr="00A1359E">
              <w:rPr>
                <w:rFonts w:ascii="Arial" w:hAnsi="Arial" w:cs="Arial"/>
                <w:sz w:val="20"/>
                <w:szCs w:val="20"/>
              </w:rPr>
              <w:t>priede pateikiami ekonomiškai naudingiausio pasiūlymo vertinimo kriterijai, jų vertės, formulės, pagal kurias bus skaičiuojamas pasiūlymų ekonominis naudingumas.</w:t>
            </w:r>
          </w:p>
        </w:tc>
        <w:tc>
          <w:tcPr>
            <w:tcW w:w="2416" w:type="pct"/>
          </w:tcPr>
          <w:p w14:paraId="4B44BD8F" w14:textId="13CB7E4C" w:rsidR="00A1359E" w:rsidRPr="00A1359E" w:rsidRDefault="00A1359E" w:rsidP="00A1359E">
            <w:pPr>
              <w:tabs>
                <w:tab w:val="left" w:pos="851"/>
              </w:tabs>
              <w:jc w:val="both"/>
              <w:rPr>
                <w:rFonts w:ascii="Arial" w:hAnsi="Arial" w:cs="Arial"/>
                <w:sz w:val="20"/>
                <w:szCs w:val="20"/>
                <w:lang w:val="en-GB"/>
              </w:rPr>
            </w:pPr>
            <w:r w:rsidRPr="00A1359E">
              <w:rPr>
                <w:rFonts w:ascii="Arial" w:hAnsi="Arial" w:cs="Arial"/>
                <w:sz w:val="20"/>
                <w:szCs w:val="20"/>
                <w:lang w:val="en-GB"/>
              </w:rPr>
              <w:t>This annex to the SPC contains the evaluation criteria of the most economically advantageous tender, their values, formulas based on which the economic efficiency of the tenders will be calculated.</w:t>
            </w:r>
          </w:p>
        </w:tc>
      </w:tr>
      <w:tr w:rsidR="00A1359E" w:rsidRPr="007C3D8C" w14:paraId="621AE1AC" w14:textId="77777777" w:rsidTr="002422E2">
        <w:trPr>
          <w:trHeight w:val="755"/>
        </w:trPr>
        <w:tc>
          <w:tcPr>
            <w:tcW w:w="142" w:type="pct"/>
          </w:tcPr>
          <w:p w14:paraId="49241299" w14:textId="77777777" w:rsidR="00A1359E" w:rsidRDefault="00A1359E" w:rsidP="00A1359E">
            <w:pPr>
              <w:numPr>
                <w:ilvl w:val="0"/>
                <w:numId w:val="1"/>
              </w:numPr>
              <w:tabs>
                <w:tab w:val="left" w:pos="851"/>
              </w:tabs>
              <w:jc w:val="both"/>
              <w:rPr>
                <w:rFonts w:ascii="Arial" w:hAnsi="Arial" w:cs="Arial"/>
                <w:bCs/>
                <w:sz w:val="20"/>
                <w:szCs w:val="20"/>
              </w:rPr>
            </w:pPr>
          </w:p>
        </w:tc>
        <w:tc>
          <w:tcPr>
            <w:tcW w:w="2442" w:type="pct"/>
          </w:tcPr>
          <w:p w14:paraId="39D975BF" w14:textId="6BAAD3D5" w:rsidR="00A1359E" w:rsidRPr="007C3D8C" w:rsidRDefault="00A1359E" w:rsidP="00A1359E">
            <w:pPr>
              <w:tabs>
                <w:tab w:val="left" w:pos="851"/>
              </w:tabs>
              <w:jc w:val="both"/>
              <w:rPr>
                <w:rFonts w:ascii="Arial" w:hAnsi="Arial" w:cs="Arial"/>
                <w:sz w:val="20"/>
                <w:szCs w:val="20"/>
              </w:rPr>
            </w:pPr>
            <w:r>
              <w:rPr>
                <w:rFonts w:ascii="Arial" w:hAnsi="Arial" w:cs="Arial"/>
                <w:bCs/>
                <w:sz w:val="20"/>
                <w:szCs w:val="20"/>
              </w:rPr>
              <w:t>T</w:t>
            </w:r>
            <w:r w:rsidRPr="00A1359E">
              <w:rPr>
                <w:rFonts w:ascii="Arial" w:hAnsi="Arial" w:cs="Arial"/>
                <w:bCs/>
                <w:sz w:val="20"/>
                <w:szCs w:val="20"/>
              </w:rPr>
              <w:t>iekėjas, išviešindamas parametrų reikšmes savo pasiūlyme, turi realiai įsivertinti savo galimybes prisiimti įsipareigojimus pasiūlytų reikšmių atžvilgiu visą pirkimo sutarties vykdymo laikotarpį.</w:t>
            </w:r>
          </w:p>
        </w:tc>
        <w:tc>
          <w:tcPr>
            <w:tcW w:w="2416" w:type="pct"/>
          </w:tcPr>
          <w:p w14:paraId="6686F2BB" w14:textId="61EA5ECA" w:rsidR="00A1359E" w:rsidRPr="00A1359E" w:rsidRDefault="00A1359E" w:rsidP="00A1359E">
            <w:pPr>
              <w:tabs>
                <w:tab w:val="left" w:pos="851"/>
              </w:tabs>
              <w:jc w:val="both"/>
              <w:rPr>
                <w:rFonts w:ascii="Arial" w:hAnsi="Arial" w:cs="Arial"/>
                <w:sz w:val="20"/>
                <w:szCs w:val="20"/>
                <w:lang w:val="en-GB"/>
              </w:rPr>
            </w:pPr>
            <w:r w:rsidRPr="00A1359E">
              <w:rPr>
                <w:rFonts w:ascii="Arial" w:hAnsi="Arial" w:cs="Arial"/>
                <w:sz w:val="20"/>
                <w:szCs w:val="20"/>
                <w:lang w:val="en-GB"/>
              </w:rPr>
              <w:t xml:space="preserve">The supplier, when disclosing the values ​​of the parameters in his </w:t>
            </w:r>
            <w:r>
              <w:rPr>
                <w:rFonts w:ascii="Arial" w:hAnsi="Arial" w:cs="Arial"/>
                <w:sz w:val="20"/>
                <w:szCs w:val="20"/>
                <w:lang w:val="en-GB"/>
              </w:rPr>
              <w:t>tender</w:t>
            </w:r>
            <w:r w:rsidRPr="00A1359E">
              <w:rPr>
                <w:rFonts w:ascii="Arial" w:hAnsi="Arial" w:cs="Arial"/>
                <w:sz w:val="20"/>
                <w:szCs w:val="20"/>
                <w:lang w:val="en-GB"/>
              </w:rPr>
              <w:t xml:space="preserve">, must realistically assess his ability to assume obligations in relation to the offered values ​​for the entire period of performance of the </w:t>
            </w:r>
            <w:r>
              <w:rPr>
                <w:rFonts w:ascii="Arial" w:hAnsi="Arial" w:cs="Arial"/>
                <w:sz w:val="20"/>
                <w:szCs w:val="20"/>
                <w:lang w:val="en-GB"/>
              </w:rPr>
              <w:t>procurement</w:t>
            </w:r>
            <w:r w:rsidRPr="00A1359E">
              <w:rPr>
                <w:rFonts w:ascii="Arial" w:hAnsi="Arial" w:cs="Arial"/>
                <w:sz w:val="20"/>
                <w:szCs w:val="20"/>
                <w:lang w:val="en-GB"/>
              </w:rPr>
              <w:t xml:space="preserve"> contract.</w:t>
            </w:r>
          </w:p>
        </w:tc>
      </w:tr>
      <w:tr w:rsidR="00A1359E" w:rsidRPr="007C3D8C" w14:paraId="2058A964" w14:textId="77777777" w:rsidTr="002422E2">
        <w:trPr>
          <w:trHeight w:val="368"/>
        </w:trPr>
        <w:tc>
          <w:tcPr>
            <w:tcW w:w="142" w:type="pct"/>
          </w:tcPr>
          <w:p w14:paraId="40FAE829" w14:textId="77777777" w:rsidR="00A1359E" w:rsidRPr="00A1359E" w:rsidRDefault="00A1359E" w:rsidP="00A1359E">
            <w:pPr>
              <w:pStyle w:val="ListParagraph"/>
              <w:numPr>
                <w:ilvl w:val="0"/>
                <w:numId w:val="1"/>
              </w:numPr>
              <w:tabs>
                <w:tab w:val="left" w:pos="851"/>
              </w:tabs>
              <w:jc w:val="both"/>
              <w:rPr>
                <w:rFonts w:ascii="Arial" w:hAnsi="Arial" w:cs="Arial"/>
                <w:sz w:val="20"/>
                <w:szCs w:val="20"/>
              </w:rPr>
            </w:pPr>
          </w:p>
        </w:tc>
        <w:tc>
          <w:tcPr>
            <w:tcW w:w="2442" w:type="pct"/>
          </w:tcPr>
          <w:p w14:paraId="6B6BA7D8" w14:textId="643FF017" w:rsidR="00A1359E" w:rsidRPr="007C3D8C" w:rsidRDefault="00A1359E" w:rsidP="00A1359E">
            <w:pPr>
              <w:tabs>
                <w:tab w:val="left" w:pos="851"/>
              </w:tabs>
              <w:jc w:val="both"/>
              <w:rPr>
                <w:rFonts w:ascii="Arial" w:hAnsi="Arial" w:cs="Arial"/>
                <w:sz w:val="20"/>
                <w:szCs w:val="20"/>
              </w:rPr>
            </w:pPr>
            <w:r w:rsidRPr="00A1359E">
              <w:rPr>
                <w:rFonts w:ascii="Arial" w:hAnsi="Arial" w:cs="Arial"/>
                <w:sz w:val="20"/>
                <w:szCs w:val="20"/>
              </w:rPr>
              <w:t xml:space="preserve">Pasiūlymų vertinimo kriterijai </w:t>
            </w:r>
            <w:r>
              <w:rPr>
                <w:rFonts w:ascii="Arial" w:hAnsi="Arial" w:cs="Arial"/>
                <w:sz w:val="20"/>
                <w:szCs w:val="20"/>
              </w:rPr>
              <w:t xml:space="preserve">ir pasiūlymų ekonominio naudingumo apskaičiavimo tvarka </w:t>
            </w:r>
            <w:r w:rsidRPr="00A1359E">
              <w:rPr>
                <w:rFonts w:ascii="Arial" w:hAnsi="Arial" w:cs="Arial"/>
                <w:sz w:val="20"/>
                <w:szCs w:val="20"/>
              </w:rPr>
              <w:t xml:space="preserve">pateikti žemiau esančioje </w:t>
            </w:r>
            <w:r>
              <w:rPr>
                <w:rFonts w:ascii="Arial" w:hAnsi="Arial" w:cs="Arial"/>
                <w:sz w:val="20"/>
                <w:szCs w:val="20"/>
              </w:rPr>
              <w:t xml:space="preserve">1 </w:t>
            </w:r>
            <w:r w:rsidRPr="00A1359E">
              <w:rPr>
                <w:rFonts w:ascii="Arial" w:hAnsi="Arial" w:cs="Arial"/>
                <w:sz w:val="20"/>
                <w:szCs w:val="20"/>
              </w:rPr>
              <w:t>lentelėje</w:t>
            </w:r>
            <w:r>
              <w:rPr>
                <w:rFonts w:ascii="Arial" w:hAnsi="Arial" w:cs="Arial"/>
                <w:sz w:val="20"/>
                <w:szCs w:val="20"/>
              </w:rPr>
              <w:t xml:space="preserve">. </w:t>
            </w:r>
          </w:p>
        </w:tc>
        <w:tc>
          <w:tcPr>
            <w:tcW w:w="2416" w:type="pct"/>
          </w:tcPr>
          <w:p w14:paraId="1C1302A1" w14:textId="665E5EFA" w:rsidR="00A1359E" w:rsidRPr="007C3D8C" w:rsidRDefault="00A1359E" w:rsidP="00A1359E">
            <w:pPr>
              <w:tabs>
                <w:tab w:val="left" w:pos="851"/>
              </w:tabs>
              <w:jc w:val="both"/>
              <w:rPr>
                <w:rFonts w:ascii="Arial" w:hAnsi="Arial" w:cs="Arial"/>
                <w:sz w:val="20"/>
                <w:szCs w:val="20"/>
                <w:lang w:val="en-US"/>
              </w:rPr>
            </w:pPr>
            <w:r w:rsidRPr="00A1359E">
              <w:rPr>
                <w:rFonts w:ascii="Arial" w:hAnsi="Arial" w:cs="Arial"/>
                <w:sz w:val="20"/>
                <w:szCs w:val="20"/>
                <w:lang w:val="en-US"/>
              </w:rPr>
              <w:t xml:space="preserve">The criteria for evaluating the </w:t>
            </w:r>
            <w:r>
              <w:rPr>
                <w:rFonts w:ascii="Arial" w:hAnsi="Arial" w:cs="Arial"/>
                <w:sz w:val="20"/>
                <w:szCs w:val="20"/>
                <w:lang w:val="en-US"/>
              </w:rPr>
              <w:t>tenders</w:t>
            </w:r>
            <w:r w:rsidRPr="00A1359E">
              <w:rPr>
                <w:rFonts w:ascii="Arial" w:hAnsi="Arial" w:cs="Arial"/>
                <w:sz w:val="20"/>
                <w:szCs w:val="20"/>
                <w:lang w:val="en-US"/>
              </w:rPr>
              <w:t xml:space="preserve"> and the procedure for calculating the economic </w:t>
            </w:r>
            <w:r>
              <w:rPr>
                <w:rFonts w:ascii="Arial" w:hAnsi="Arial" w:cs="Arial"/>
                <w:sz w:val="20"/>
                <w:szCs w:val="20"/>
                <w:lang w:val="en-US"/>
              </w:rPr>
              <w:t>efficiency</w:t>
            </w:r>
            <w:r w:rsidRPr="00A1359E">
              <w:rPr>
                <w:rFonts w:ascii="Arial" w:hAnsi="Arial" w:cs="Arial"/>
                <w:sz w:val="20"/>
                <w:szCs w:val="20"/>
                <w:lang w:val="en-US"/>
              </w:rPr>
              <w:t xml:space="preserve"> of the </w:t>
            </w:r>
            <w:r>
              <w:rPr>
                <w:rFonts w:ascii="Arial" w:hAnsi="Arial" w:cs="Arial"/>
                <w:sz w:val="20"/>
                <w:szCs w:val="20"/>
                <w:lang w:val="en-US"/>
              </w:rPr>
              <w:t>tenders</w:t>
            </w:r>
            <w:r w:rsidRPr="00A1359E">
              <w:rPr>
                <w:rFonts w:ascii="Arial" w:hAnsi="Arial" w:cs="Arial"/>
                <w:sz w:val="20"/>
                <w:szCs w:val="20"/>
                <w:lang w:val="en-US"/>
              </w:rPr>
              <w:t xml:space="preserve"> are presented in Table 1 below.</w:t>
            </w:r>
          </w:p>
        </w:tc>
      </w:tr>
    </w:tbl>
    <w:p w14:paraId="04671F13" w14:textId="77777777" w:rsidR="007C3D8C" w:rsidRPr="00A1359E" w:rsidRDefault="007C3D8C" w:rsidP="007C3D8C">
      <w:pPr>
        <w:jc w:val="right"/>
        <w:rPr>
          <w:rFonts w:ascii="Arial" w:hAnsi="Arial" w:cs="Arial"/>
          <w:i/>
          <w:sz w:val="20"/>
          <w:szCs w:val="20"/>
        </w:rPr>
      </w:pPr>
    </w:p>
    <w:p w14:paraId="031FC2CB" w14:textId="03D12572" w:rsidR="007C3D8C" w:rsidRPr="00A1359E" w:rsidRDefault="007C3D8C" w:rsidP="007C3D8C">
      <w:pPr>
        <w:jc w:val="right"/>
        <w:rPr>
          <w:rFonts w:ascii="Arial" w:hAnsi="Arial" w:cs="Arial"/>
          <w:i/>
          <w:sz w:val="20"/>
          <w:szCs w:val="20"/>
        </w:rPr>
      </w:pPr>
      <w:r w:rsidRPr="00A1359E">
        <w:rPr>
          <w:rFonts w:ascii="Arial" w:hAnsi="Arial" w:cs="Arial"/>
          <w:i/>
          <w:sz w:val="20"/>
          <w:szCs w:val="20"/>
        </w:rPr>
        <w:t xml:space="preserve">1 Lentelė. </w:t>
      </w:r>
      <w:r w:rsidR="00B0136A" w:rsidRPr="00B0136A">
        <w:rPr>
          <w:rFonts w:ascii="Arial" w:hAnsi="Arial" w:cs="Arial"/>
          <w:i/>
          <w:sz w:val="20"/>
          <w:szCs w:val="20"/>
        </w:rPr>
        <w:t xml:space="preserve">Pasiūlymų vertinimo kriterijai ir </w:t>
      </w:r>
      <w:r w:rsidR="00B0136A">
        <w:rPr>
          <w:rFonts w:ascii="Arial" w:hAnsi="Arial" w:cs="Arial"/>
          <w:i/>
          <w:sz w:val="20"/>
          <w:szCs w:val="20"/>
        </w:rPr>
        <w:t xml:space="preserve">Pasiūlymų </w:t>
      </w:r>
      <w:r w:rsidR="00B0136A" w:rsidRPr="00B0136A">
        <w:rPr>
          <w:rFonts w:ascii="Arial" w:hAnsi="Arial" w:cs="Arial"/>
          <w:i/>
          <w:sz w:val="20"/>
          <w:szCs w:val="20"/>
        </w:rPr>
        <w:t>vertinimo apskaičiavimo</w:t>
      </w:r>
      <w:r w:rsidR="00B0136A">
        <w:rPr>
          <w:rFonts w:ascii="Arial" w:hAnsi="Arial" w:cs="Arial"/>
          <w:i/>
          <w:sz w:val="20"/>
          <w:szCs w:val="20"/>
        </w:rPr>
        <w:t xml:space="preserve"> pagal kriterijus</w:t>
      </w:r>
      <w:r w:rsidR="00B0136A" w:rsidRPr="00B0136A">
        <w:rPr>
          <w:rFonts w:ascii="Arial" w:hAnsi="Arial" w:cs="Arial"/>
          <w:i/>
          <w:sz w:val="20"/>
          <w:szCs w:val="20"/>
        </w:rPr>
        <w:t xml:space="preserve"> tvarka</w:t>
      </w:r>
      <w:r w:rsidR="00A1359E" w:rsidRPr="00A1359E">
        <w:rPr>
          <w:rFonts w:ascii="Arial" w:hAnsi="Arial" w:cs="Arial"/>
          <w:i/>
          <w:sz w:val="20"/>
          <w:szCs w:val="20"/>
        </w:rPr>
        <w:t xml:space="preserve"> </w:t>
      </w:r>
      <w:r w:rsidRPr="00A1359E">
        <w:rPr>
          <w:rFonts w:ascii="Arial" w:hAnsi="Arial" w:cs="Arial"/>
          <w:i/>
          <w:sz w:val="20"/>
          <w:szCs w:val="20"/>
        </w:rPr>
        <w:t>/</w:t>
      </w:r>
    </w:p>
    <w:p w14:paraId="7CFFEDC3" w14:textId="5B7A92AC" w:rsidR="00A1359E" w:rsidRPr="002422E2" w:rsidRDefault="007C3D8C" w:rsidP="002422E2">
      <w:pPr>
        <w:jc w:val="right"/>
        <w:rPr>
          <w:rFonts w:ascii="Arial" w:hAnsi="Arial" w:cs="Arial"/>
          <w:i/>
          <w:sz w:val="20"/>
          <w:szCs w:val="20"/>
          <w:lang w:val="en-GB"/>
        </w:rPr>
      </w:pPr>
      <w:r w:rsidRPr="00A1359E">
        <w:rPr>
          <w:rFonts w:ascii="Arial" w:hAnsi="Arial" w:cs="Arial"/>
          <w:i/>
          <w:sz w:val="20"/>
          <w:szCs w:val="20"/>
          <w:lang w:val="en-GB"/>
        </w:rPr>
        <w:t xml:space="preserve">Table 1. </w:t>
      </w:r>
      <w:r w:rsidR="00A1359E" w:rsidRPr="00A1359E">
        <w:rPr>
          <w:rFonts w:ascii="Arial" w:hAnsi="Arial" w:cs="Arial"/>
          <w:i/>
          <w:sz w:val="20"/>
          <w:szCs w:val="20"/>
          <w:lang w:val="en-GB"/>
        </w:rPr>
        <w:t xml:space="preserve">The criteria for evaluating the tenders and the procedure for calculating the </w:t>
      </w:r>
      <w:r w:rsidR="00B0136A">
        <w:rPr>
          <w:rFonts w:ascii="Arial" w:hAnsi="Arial" w:cs="Arial"/>
          <w:i/>
          <w:sz w:val="20"/>
          <w:szCs w:val="20"/>
          <w:lang w:val="en-GB"/>
        </w:rPr>
        <w:t>Tender value according to the criteria</w:t>
      </w:r>
    </w:p>
    <w:tbl>
      <w:tblPr>
        <w:tblStyle w:val="TableGrid"/>
        <w:tblW w:w="0" w:type="auto"/>
        <w:tblLook w:val="04A0" w:firstRow="1" w:lastRow="0" w:firstColumn="1" w:lastColumn="0" w:noHBand="0" w:noVBand="1"/>
      </w:tblPr>
      <w:tblGrid>
        <w:gridCol w:w="445"/>
        <w:gridCol w:w="5574"/>
        <w:gridCol w:w="2089"/>
        <w:gridCol w:w="5672"/>
        <w:gridCol w:w="1883"/>
      </w:tblGrid>
      <w:tr w:rsidR="00B0136A" w14:paraId="4B66E822" w14:textId="746F6566" w:rsidTr="00DA5F6D">
        <w:tc>
          <w:tcPr>
            <w:tcW w:w="6019" w:type="dxa"/>
            <w:gridSpan w:val="2"/>
            <w:shd w:val="clear" w:color="auto" w:fill="D9D9D9" w:themeFill="background1" w:themeFillShade="D9"/>
          </w:tcPr>
          <w:p w14:paraId="1400DAC8" w14:textId="68929802" w:rsidR="00B0136A" w:rsidRPr="00A1359E" w:rsidRDefault="00B0136A" w:rsidP="00A1359E">
            <w:pPr>
              <w:jc w:val="center"/>
              <w:rPr>
                <w:rFonts w:ascii="Arial" w:hAnsi="Arial" w:cs="Arial"/>
                <w:b/>
                <w:bCs/>
                <w:iCs/>
                <w:sz w:val="20"/>
                <w:szCs w:val="20"/>
              </w:rPr>
            </w:pPr>
            <w:r>
              <w:rPr>
                <w:rFonts w:ascii="Arial" w:hAnsi="Arial" w:cs="Arial"/>
                <w:b/>
                <w:bCs/>
                <w:iCs/>
                <w:sz w:val="20"/>
                <w:szCs w:val="20"/>
              </w:rPr>
              <w:t>Vertinimo kriterijai ir pasiūlymų vertinimo pagal kriterijus apskaičiavimo tvarka</w:t>
            </w:r>
          </w:p>
        </w:tc>
        <w:tc>
          <w:tcPr>
            <w:tcW w:w="2089" w:type="dxa"/>
            <w:shd w:val="clear" w:color="auto" w:fill="D9D9D9" w:themeFill="background1" w:themeFillShade="D9"/>
          </w:tcPr>
          <w:p w14:paraId="0F35E4DE" w14:textId="77777777" w:rsidR="00B0136A" w:rsidRPr="00FB43BC" w:rsidRDefault="00B0136A" w:rsidP="00B0136A">
            <w:pPr>
              <w:jc w:val="center"/>
              <w:rPr>
                <w:rFonts w:ascii="Arial" w:hAnsi="Arial" w:cs="Arial"/>
                <w:b/>
                <w:bCs/>
                <w:iCs/>
                <w:sz w:val="20"/>
                <w:szCs w:val="20"/>
              </w:rPr>
            </w:pPr>
            <w:r w:rsidRPr="00FB43BC">
              <w:rPr>
                <w:rFonts w:ascii="Arial" w:hAnsi="Arial" w:cs="Arial"/>
                <w:b/>
                <w:bCs/>
                <w:iCs/>
                <w:sz w:val="20"/>
                <w:szCs w:val="20"/>
              </w:rPr>
              <w:t>Pasiūlyme reikalinga pateikti informacija, kuri bus vertinama pagal ekonominio naudingumo kriterijus</w:t>
            </w:r>
          </w:p>
          <w:p w14:paraId="22021C78" w14:textId="77777777" w:rsidR="00B0136A" w:rsidRPr="00C046AD" w:rsidRDefault="00B0136A" w:rsidP="00B0136A">
            <w:pPr>
              <w:jc w:val="center"/>
              <w:rPr>
                <w:rFonts w:ascii="Arial" w:hAnsi="Arial" w:cs="Arial"/>
                <w:b/>
                <w:bCs/>
                <w:iCs/>
                <w:sz w:val="20"/>
                <w:szCs w:val="20"/>
                <w:lang w:val="pt-PT"/>
              </w:rPr>
            </w:pPr>
          </w:p>
        </w:tc>
        <w:tc>
          <w:tcPr>
            <w:tcW w:w="5672" w:type="dxa"/>
            <w:shd w:val="clear" w:color="auto" w:fill="D9D9D9" w:themeFill="background1" w:themeFillShade="D9"/>
          </w:tcPr>
          <w:p w14:paraId="7FD5E2B3" w14:textId="7D5695D3" w:rsidR="00B0136A" w:rsidRPr="00A1359E" w:rsidRDefault="00B0136A" w:rsidP="00A1359E">
            <w:pPr>
              <w:jc w:val="center"/>
              <w:rPr>
                <w:rFonts w:ascii="Arial" w:hAnsi="Arial" w:cs="Arial"/>
                <w:b/>
                <w:bCs/>
                <w:iCs/>
                <w:sz w:val="20"/>
                <w:szCs w:val="20"/>
                <w:lang w:val="en-GB"/>
              </w:rPr>
            </w:pPr>
            <w:r w:rsidRPr="00A1359E">
              <w:rPr>
                <w:rFonts w:ascii="Arial" w:hAnsi="Arial" w:cs="Arial"/>
                <w:b/>
                <w:bCs/>
                <w:iCs/>
                <w:sz w:val="20"/>
                <w:szCs w:val="20"/>
                <w:lang w:val="en-GB"/>
              </w:rPr>
              <w:t xml:space="preserve">Evaluation criteria and calculation of the </w:t>
            </w:r>
            <w:r>
              <w:rPr>
                <w:rFonts w:ascii="Arial" w:hAnsi="Arial" w:cs="Arial"/>
                <w:b/>
                <w:bCs/>
                <w:iCs/>
                <w:sz w:val="20"/>
                <w:szCs w:val="20"/>
                <w:lang w:val="en-GB"/>
              </w:rPr>
              <w:t>procedure of calculation of Tender value according to the criteria</w:t>
            </w:r>
          </w:p>
        </w:tc>
        <w:tc>
          <w:tcPr>
            <w:tcW w:w="1883" w:type="dxa"/>
            <w:shd w:val="clear" w:color="auto" w:fill="D9D9D9" w:themeFill="background1" w:themeFillShade="D9"/>
          </w:tcPr>
          <w:p w14:paraId="7091FB27" w14:textId="45AD6EAD" w:rsidR="00B0136A" w:rsidRPr="00A1359E" w:rsidRDefault="00FB43BC" w:rsidP="00A1359E">
            <w:pPr>
              <w:jc w:val="center"/>
              <w:rPr>
                <w:rFonts w:ascii="Arial" w:hAnsi="Arial" w:cs="Arial"/>
                <w:b/>
                <w:bCs/>
                <w:iCs/>
                <w:sz w:val="20"/>
                <w:szCs w:val="20"/>
                <w:lang w:val="en-GB"/>
              </w:rPr>
            </w:pPr>
            <w:r>
              <w:rPr>
                <w:rFonts w:ascii="Arial" w:hAnsi="Arial" w:cs="Arial"/>
                <w:b/>
                <w:bCs/>
                <w:iCs/>
                <w:sz w:val="20"/>
                <w:szCs w:val="20"/>
                <w:lang w:val="en-GB"/>
              </w:rPr>
              <w:t>The information required to be submitted in the Tender</w:t>
            </w:r>
            <w:r w:rsidRPr="00FB43BC">
              <w:rPr>
                <w:rFonts w:ascii="Arial" w:hAnsi="Arial" w:cs="Arial"/>
                <w:b/>
                <w:bCs/>
                <w:iCs/>
                <w:sz w:val="20"/>
                <w:szCs w:val="20"/>
                <w:lang w:val="en-GB"/>
              </w:rPr>
              <w:t xml:space="preserve"> to be assessed </w:t>
            </w:r>
            <w:r>
              <w:rPr>
                <w:rFonts w:ascii="Arial" w:hAnsi="Arial" w:cs="Arial"/>
                <w:b/>
                <w:bCs/>
                <w:iCs/>
                <w:sz w:val="20"/>
                <w:szCs w:val="20"/>
                <w:lang w:val="en-GB"/>
              </w:rPr>
              <w:t>according to the criteria of economic efficiency</w:t>
            </w:r>
          </w:p>
        </w:tc>
      </w:tr>
      <w:tr w:rsidR="00B07CE5" w14:paraId="0DA57D1E" w14:textId="2B5D062C" w:rsidTr="00DA5F6D">
        <w:tc>
          <w:tcPr>
            <w:tcW w:w="6019" w:type="dxa"/>
            <w:gridSpan w:val="2"/>
            <w:tcBorders>
              <w:top w:val="single" w:sz="4" w:space="0" w:color="auto"/>
              <w:left w:val="single" w:sz="4" w:space="0" w:color="auto"/>
              <w:bottom w:val="single" w:sz="4" w:space="0" w:color="auto"/>
              <w:right w:val="single" w:sz="4" w:space="0" w:color="auto"/>
            </w:tcBorders>
            <w:vAlign w:val="center"/>
          </w:tcPr>
          <w:p w14:paraId="7CB125F5" w14:textId="77777777" w:rsidR="00125D3B" w:rsidRDefault="00125D3B" w:rsidP="00125D3B">
            <w:pPr>
              <w:jc w:val="center"/>
              <w:rPr>
                <w:rFonts w:ascii="Arial" w:hAnsi="Arial" w:cs="Arial"/>
                <w:b/>
                <w:sz w:val="20"/>
                <w:szCs w:val="20"/>
              </w:rPr>
            </w:pPr>
            <w:r w:rsidRPr="00D1752E">
              <w:rPr>
                <w:rFonts w:ascii="Arial" w:hAnsi="Arial" w:cs="Arial"/>
                <w:b/>
                <w:sz w:val="20"/>
                <w:szCs w:val="20"/>
              </w:rPr>
              <w:t>I kriterijus – Pasiūlymo kaina (C)</w:t>
            </w:r>
          </w:p>
          <w:p w14:paraId="5C884236" w14:textId="68D49F4F" w:rsidR="00125D3B" w:rsidRPr="00A1359E" w:rsidRDefault="00125D3B" w:rsidP="00125D3B">
            <w:pPr>
              <w:rPr>
                <w:rFonts w:ascii="Arial" w:hAnsi="Arial" w:cs="Arial"/>
                <w:iCs/>
                <w:sz w:val="20"/>
                <w:szCs w:val="20"/>
              </w:rPr>
            </w:pPr>
            <w:r w:rsidRPr="00EE64C0">
              <w:rPr>
                <w:rFonts w:ascii="Arial" w:hAnsi="Arial" w:cs="Arial"/>
                <w:bCs/>
                <w:sz w:val="20"/>
                <w:szCs w:val="20"/>
              </w:rPr>
              <w:t>Pirmo kriterijaus (C) reikšmė yra tiekėjo pasiūlyme nurodyta bendra pasiūlymo kaina eurais be PVM.</w:t>
            </w:r>
          </w:p>
        </w:tc>
        <w:tc>
          <w:tcPr>
            <w:tcW w:w="2089" w:type="dxa"/>
            <w:tcBorders>
              <w:top w:val="single" w:sz="4" w:space="0" w:color="auto"/>
              <w:left w:val="single" w:sz="4" w:space="0" w:color="auto"/>
              <w:bottom w:val="single" w:sz="4" w:space="0" w:color="auto"/>
              <w:right w:val="single" w:sz="4" w:space="0" w:color="auto"/>
            </w:tcBorders>
            <w:vAlign w:val="center"/>
          </w:tcPr>
          <w:p w14:paraId="28508405" w14:textId="77777777" w:rsidR="00125D3B" w:rsidRPr="00963EAE" w:rsidRDefault="00125D3B" w:rsidP="00125D3B">
            <w:pPr>
              <w:jc w:val="center"/>
              <w:rPr>
                <w:rFonts w:ascii="Arial" w:hAnsi="Arial" w:cs="Arial"/>
                <w:sz w:val="20"/>
                <w:szCs w:val="20"/>
              </w:rPr>
            </w:pPr>
            <w:r w:rsidRPr="00D1752E">
              <w:rPr>
                <w:rFonts w:ascii="Arial" w:hAnsi="Arial" w:cs="Arial"/>
                <w:sz w:val="20"/>
                <w:szCs w:val="20"/>
              </w:rPr>
              <w:t xml:space="preserve">Užpildyta Pasiūlymo </w:t>
            </w:r>
            <w:r w:rsidRPr="00963EAE">
              <w:rPr>
                <w:rFonts w:ascii="Arial" w:hAnsi="Arial" w:cs="Arial"/>
                <w:sz w:val="20"/>
                <w:szCs w:val="20"/>
              </w:rPr>
              <w:t>forma</w:t>
            </w:r>
          </w:p>
          <w:p w14:paraId="2A71A87A" w14:textId="2F4FBC14" w:rsidR="00125D3B" w:rsidRPr="00C046AD" w:rsidRDefault="00125D3B" w:rsidP="00DA5F6D">
            <w:pPr>
              <w:jc w:val="center"/>
              <w:rPr>
                <w:rFonts w:ascii="Arial" w:hAnsi="Arial" w:cs="Arial"/>
                <w:sz w:val="20"/>
                <w:szCs w:val="20"/>
              </w:rPr>
            </w:pPr>
            <w:r w:rsidRPr="00963EAE">
              <w:rPr>
                <w:rFonts w:ascii="Arial" w:hAnsi="Arial" w:cs="Arial"/>
                <w:sz w:val="20"/>
                <w:szCs w:val="20"/>
              </w:rPr>
              <w:t xml:space="preserve">(SPS </w:t>
            </w:r>
            <w:r w:rsidR="00A92ABD">
              <w:rPr>
                <w:rFonts w:ascii="Arial" w:hAnsi="Arial" w:cs="Arial"/>
                <w:sz w:val="20"/>
                <w:szCs w:val="20"/>
              </w:rPr>
              <w:t>2</w:t>
            </w:r>
            <w:r w:rsidRPr="00963EAE">
              <w:rPr>
                <w:rFonts w:ascii="Arial" w:hAnsi="Arial" w:cs="Arial"/>
                <w:sz w:val="20"/>
                <w:szCs w:val="20"/>
              </w:rPr>
              <w:t xml:space="preserve"> priedas)</w:t>
            </w:r>
          </w:p>
        </w:tc>
        <w:tc>
          <w:tcPr>
            <w:tcW w:w="5672" w:type="dxa"/>
            <w:tcBorders>
              <w:top w:val="single" w:sz="4" w:space="0" w:color="auto"/>
              <w:left w:val="single" w:sz="4" w:space="0" w:color="auto"/>
              <w:bottom w:val="single" w:sz="4" w:space="0" w:color="auto"/>
              <w:right w:val="single" w:sz="4" w:space="0" w:color="auto"/>
            </w:tcBorders>
            <w:vAlign w:val="center"/>
          </w:tcPr>
          <w:p w14:paraId="22715DD7" w14:textId="4C0A508D" w:rsidR="00125D3B" w:rsidRPr="00B07CE5" w:rsidRDefault="00125D3B" w:rsidP="00125D3B">
            <w:pPr>
              <w:jc w:val="center"/>
              <w:rPr>
                <w:rFonts w:ascii="Arial" w:hAnsi="Arial" w:cs="Arial"/>
                <w:b/>
                <w:sz w:val="20"/>
                <w:szCs w:val="20"/>
                <w:lang w:val="en-GB"/>
              </w:rPr>
            </w:pPr>
            <w:r w:rsidRPr="00B07CE5">
              <w:rPr>
                <w:rFonts w:ascii="Arial" w:hAnsi="Arial" w:cs="Arial"/>
                <w:b/>
                <w:sz w:val="20"/>
                <w:szCs w:val="20"/>
                <w:lang w:val="en-GB"/>
              </w:rPr>
              <w:t>Criterion I – Tender price (C)</w:t>
            </w:r>
          </w:p>
          <w:p w14:paraId="7260FBB7" w14:textId="3CF75704" w:rsidR="00125D3B" w:rsidRPr="00181813" w:rsidRDefault="00125D3B" w:rsidP="00125D3B">
            <w:pPr>
              <w:jc w:val="both"/>
              <w:rPr>
                <w:rFonts w:ascii="Arial" w:hAnsi="Arial" w:cs="Arial"/>
                <w:iCs/>
                <w:sz w:val="20"/>
                <w:szCs w:val="20"/>
                <w:lang w:val="en-GB"/>
              </w:rPr>
            </w:pPr>
            <w:r w:rsidRPr="00125D3B">
              <w:rPr>
                <w:rFonts w:ascii="Arial" w:hAnsi="Arial" w:cs="Arial"/>
                <w:iCs/>
                <w:sz w:val="20"/>
                <w:szCs w:val="20"/>
                <w:lang w:val="en-GB"/>
              </w:rPr>
              <w:t xml:space="preserve">The value of the first criterion (C) is the total price of the </w:t>
            </w:r>
            <w:r>
              <w:rPr>
                <w:rFonts w:ascii="Arial" w:hAnsi="Arial" w:cs="Arial"/>
                <w:iCs/>
                <w:sz w:val="20"/>
                <w:szCs w:val="20"/>
                <w:lang w:val="en-GB"/>
              </w:rPr>
              <w:t>tender</w:t>
            </w:r>
            <w:r w:rsidRPr="00125D3B">
              <w:rPr>
                <w:rFonts w:ascii="Arial" w:hAnsi="Arial" w:cs="Arial"/>
                <w:iCs/>
                <w:sz w:val="20"/>
                <w:szCs w:val="20"/>
                <w:lang w:val="en-GB"/>
              </w:rPr>
              <w:t xml:space="preserve"> in euros </w:t>
            </w:r>
            <w:r>
              <w:rPr>
                <w:rFonts w:ascii="Arial" w:hAnsi="Arial" w:cs="Arial"/>
                <w:iCs/>
                <w:sz w:val="20"/>
                <w:szCs w:val="20"/>
                <w:lang w:val="en-GB"/>
              </w:rPr>
              <w:t>excluding</w:t>
            </w:r>
            <w:r w:rsidRPr="00125D3B">
              <w:rPr>
                <w:rFonts w:ascii="Arial" w:hAnsi="Arial" w:cs="Arial"/>
                <w:iCs/>
                <w:sz w:val="20"/>
                <w:szCs w:val="20"/>
                <w:lang w:val="en-GB"/>
              </w:rPr>
              <w:t xml:space="preserve"> VAT (C) specified in the </w:t>
            </w:r>
            <w:r>
              <w:rPr>
                <w:rFonts w:ascii="Arial" w:hAnsi="Arial" w:cs="Arial"/>
                <w:iCs/>
                <w:sz w:val="20"/>
                <w:szCs w:val="20"/>
                <w:lang w:val="en-GB"/>
              </w:rPr>
              <w:t>s</w:t>
            </w:r>
            <w:r w:rsidRPr="00125D3B">
              <w:rPr>
                <w:rFonts w:ascii="Arial" w:hAnsi="Arial" w:cs="Arial"/>
                <w:iCs/>
                <w:sz w:val="20"/>
                <w:szCs w:val="20"/>
                <w:lang w:val="en-GB"/>
              </w:rPr>
              <w:t xml:space="preserve">upplier's </w:t>
            </w:r>
            <w:r>
              <w:rPr>
                <w:rFonts w:ascii="Arial" w:hAnsi="Arial" w:cs="Arial"/>
                <w:iCs/>
                <w:sz w:val="20"/>
                <w:szCs w:val="20"/>
                <w:lang w:val="en-GB"/>
              </w:rPr>
              <w:t>tender</w:t>
            </w:r>
            <w:r w:rsidRPr="00125D3B">
              <w:rPr>
                <w:rFonts w:ascii="Arial" w:hAnsi="Arial" w:cs="Arial"/>
                <w:iCs/>
                <w:sz w:val="20"/>
                <w:szCs w:val="20"/>
                <w:lang w:val="en-GB"/>
              </w:rPr>
              <w:t>.</w:t>
            </w:r>
          </w:p>
        </w:tc>
        <w:tc>
          <w:tcPr>
            <w:tcW w:w="1883" w:type="dxa"/>
            <w:tcBorders>
              <w:top w:val="single" w:sz="4" w:space="0" w:color="auto"/>
              <w:left w:val="single" w:sz="4" w:space="0" w:color="auto"/>
              <w:bottom w:val="single" w:sz="4" w:space="0" w:color="auto"/>
              <w:right w:val="single" w:sz="4" w:space="0" w:color="auto"/>
            </w:tcBorders>
            <w:vAlign w:val="center"/>
          </w:tcPr>
          <w:p w14:paraId="75D8ACD4" w14:textId="24DF9EFA" w:rsidR="00125D3B" w:rsidRPr="00FB43BC" w:rsidRDefault="00125D3B" w:rsidP="00125D3B">
            <w:pPr>
              <w:jc w:val="center"/>
              <w:rPr>
                <w:rFonts w:ascii="Arial" w:hAnsi="Arial" w:cs="Arial"/>
                <w:sz w:val="20"/>
                <w:szCs w:val="20"/>
                <w:lang w:val="en-GB"/>
              </w:rPr>
            </w:pPr>
            <w:r w:rsidRPr="00FB43BC">
              <w:rPr>
                <w:rFonts w:ascii="Arial" w:hAnsi="Arial" w:cs="Arial"/>
                <w:sz w:val="20"/>
                <w:szCs w:val="20"/>
                <w:lang w:val="en-GB"/>
              </w:rPr>
              <w:t>Completed Tender Form</w:t>
            </w:r>
          </w:p>
          <w:p w14:paraId="2AC29B54" w14:textId="102D5CF8" w:rsidR="00125D3B" w:rsidRPr="00DA5F6D" w:rsidRDefault="00125D3B" w:rsidP="00DA5F6D">
            <w:pPr>
              <w:jc w:val="center"/>
              <w:rPr>
                <w:rFonts w:ascii="Arial" w:hAnsi="Arial" w:cs="Arial"/>
                <w:sz w:val="20"/>
                <w:szCs w:val="20"/>
                <w:lang w:val="en-GB"/>
              </w:rPr>
            </w:pPr>
            <w:r w:rsidRPr="00FB43BC">
              <w:rPr>
                <w:rFonts w:ascii="Arial" w:hAnsi="Arial" w:cs="Arial"/>
                <w:sz w:val="20"/>
                <w:szCs w:val="20"/>
                <w:lang w:val="en-GB"/>
              </w:rPr>
              <w:t xml:space="preserve">(Annex </w:t>
            </w:r>
            <w:r w:rsidR="00A92ABD">
              <w:rPr>
                <w:rFonts w:ascii="Arial" w:hAnsi="Arial" w:cs="Arial"/>
                <w:sz w:val="20"/>
                <w:szCs w:val="20"/>
                <w:lang w:val="en-GB"/>
              </w:rPr>
              <w:t>2</w:t>
            </w:r>
            <w:r w:rsidRPr="00FB43BC">
              <w:rPr>
                <w:rFonts w:ascii="Arial" w:hAnsi="Arial" w:cs="Arial"/>
                <w:sz w:val="20"/>
                <w:szCs w:val="20"/>
                <w:lang w:val="en-GB"/>
              </w:rPr>
              <w:t xml:space="preserve"> to the SPC)</w:t>
            </w:r>
          </w:p>
        </w:tc>
      </w:tr>
      <w:tr w:rsidR="00125D3B" w14:paraId="2DED952E" w14:textId="06CDBB16" w:rsidTr="00DA5F6D">
        <w:tc>
          <w:tcPr>
            <w:tcW w:w="6019" w:type="dxa"/>
            <w:gridSpan w:val="2"/>
            <w:tcBorders>
              <w:top w:val="single" w:sz="4" w:space="0" w:color="auto"/>
              <w:left w:val="single" w:sz="4" w:space="0" w:color="auto"/>
              <w:bottom w:val="single" w:sz="4" w:space="0" w:color="auto"/>
              <w:right w:val="single" w:sz="4" w:space="0" w:color="auto"/>
            </w:tcBorders>
            <w:vAlign w:val="center"/>
          </w:tcPr>
          <w:p w14:paraId="7962E651" w14:textId="77777777" w:rsidR="00125D3B" w:rsidRPr="00B0136A" w:rsidRDefault="00125D3B" w:rsidP="00125D3B">
            <w:pPr>
              <w:jc w:val="center"/>
              <w:rPr>
                <w:rFonts w:ascii="Arial" w:hAnsi="Arial" w:cs="Arial"/>
                <w:b/>
                <w:bCs/>
                <w:sz w:val="20"/>
                <w:szCs w:val="20"/>
              </w:rPr>
            </w:pPr>
            <w:r w:rsidRPr="00B0136A">
              <w:rPr>
                <w:rFonts w:ascii="Arial" w:hAnsi="Arial" w:cs="Arial"/>
                <w:b/>
                <w:bCs/>
                <w:sz w:val="20"/>
                <w:szCs w:val="20"/>
              </w:rPr>
              <w:t>II kriterijus – Energijos nuostolių, apskaičiuotų 35 metų laikotarpiui, sąnaudos (P)</w:t>
            </w:r>
          </w:p>
          <w:p w14:paraId="622ABAB2" w14:textId="77777777" w:rsidR="00125D3B" w:rsidRPr="00B0136A" w:rsidRDefault="00125D3B" w:rsidP="00125D3B">
            <w:pPr>
              <w:jc w:val="center"/>
              <w:rPr>
                <w:rFonts w:ascii="Arial" w:hAnsi="Arial" w:cs="Arial"/>
                <w:sz w:val="20"/>
                <w:szCs w:val="20"/>
              </w:rPr>
            </w:pPr>
          </w:p>
          <w:p w14:paraId="1C492698" w14:textId="77777777" w:rsidR="00125D3B" w:rsidRPr="00B0136A" w:rsidRDefault="00125D3B" w:rsidP="00125D3B">
            <w:pPr>
              <w:spacing w:before="166" w:line="256" w:lineRule="auto"/>
              <w:ind w:left="102" w:right="120"/>
              <w:jc w:val="both"/>
              <w:rPr>
                <w:rFonts w:ascii="Arial" w:hAnsi="Arial" w:cs="Arial"/>
                <w:sz w:val="20"/>
                <w:szCs w:val="20"/>
              </w:rPr>
            </w:pPr>
            <w:r w:rsidRPr="00B0136A">
              <w:rPr>
                <w:rFonts w:ascii="Arial" w:hAnsi="Arial" w:cs="Arial"/>
                <w:sz w:val="20"/>
                <w:szCs w:val="20"/>
              </w:rPr>
              <w:t>Energijos nuostolių, apskaičiuotų 35 metų laikotarpiui, sąnaudos (P) suskaičiuojamos/vertinamos pagal Tiekėjo nurodytus (Pasiūlymo formos 1 priedelis - Siūlomi parametrai ir terminai (pildymo forma)) siūlomam įrenginiui nuostolių dydžius:</w:t>
            </w:r>
          </w:p>
          <w:p w14:paraId="3D5A4639" w14:textId="77777777" w:rsidR="00125D3B" w:rsidRPr="00B0136A" w:rsidRDefault="00125D3B" w:rsidP="00125D3B">
            <w:pPr>
              <w:pStyle w:val="ListParagraph"/>
              <w:widowControl w:val="0"/>
              <w:numPr>
                <w:ilvl w:val="1"/>
                <w:numId w:val="6"/>
              </w:numPr>
              <w:tabs>
                <w:tab w:val="left" w:pos="1182"/>
              </w:tabs>
              <w:autoSpaceDE w:val="0"/>
              <w:autoSpaceDN w:val="0"/>
              <w:spacing w:before="164"/>
              <w:ind w:left="1181" w:right="127"/>
              <w:contextualSpacing w:val="0"/>
              <w:jc w:val="both"/>
              <w:rPr>
                <w:rFonts w:ascii="Arial" w:hAnsi="Arial" w:cs="Arial"/>
                <w:sz w:val="20"/>
                <w:szCs w:val="20"/>
              </w:rPr>
            </w:pPr>
            <w:r w:rsidRPr="00B0136A">
              <w:rPr>
                <w:rFonts w:ascii="Arial" w:hAnsi="Arial" w:cs="Arial"/>
                <w:sz w:val="20"/>
                <w:szCs w:val="20"/>
              </w:rPr>
              <w:t xml:space="preserve">tuščiosios veikos nuostoliai (Po), kW - Teikėjo nurodytų ir gamintojo patvirtintų garantuotų tuščiosios veikos nuostolių vertė, t. y., tuščiosios veikos nuostoliai, išmatuoti esant vardinei įtampai ir </w:t>
            </w:r>
            <w:r w:rsidRPr="00B0136A">
              <w:rPr>
                <w:rFonts w:ascii="Arial" w:hAnsi="Arial" w:cs="Arial"/>
                <w:sz w:val="20"/>
                <w:szCs w:val="20"/>
              </w:rPr>
              <w:lastRenderedPageBreak/>
              <w:t>vardiniam dažniui, vardinėje atšakoje;</w:t>
            </w:r>
          </w:p>
          <w:p w14:paraId="4B44CA9A" w14:textId="77777777" w:rsidR="00125D3B" w:rsidRPr="00B0136A" w:rsidRDefault="00125D3B" w:rsidP="00125D3B">
            <w:pPr>
              <w:pStyle w:val="ListParagraph"/>
              <w:widowControl w:val="0"/>
              <w:numPr>
                <w:ilvl w:val="1"/>
                <w:numId w:val="6"/>
              </w:numPr>
              <w:tabs>
                <w:tab w:val="left" w:pos="1182"/>
              </w:tabs>
              <w:autoSpaceDE w:val="0"/>
              <w:autoSpaceDN w:val="0"/>
              <w:ind w:left="1181" w:right="122"/>
              <w:contextualSpacing w:val="0"/>
              <w:jc w:val="both"/>
              <w:rPr>
                <w:rFonts w:ascii="Arial" w:hAnsi="Arial" w:cs="Arial"/>
                <w:sz w:val="20"/>
                <w:szCs w:val="20"/>
              </w:rPr>
            </w:pPr>
            <w:r w:rsidRPr="00B0136A">
              <w:rPr>
                <w:rFonts w:ascii="Arial" w:hAnsi="Arial" w:cs="Arial"/>
                <w:sz w:val="20"/>
                <w:szCs w:val="20"/>
              </w:rPr>
              <w:t>apkrovos nuostoliai (</w:t>
            </w:r>
            <w:proofErr w:type="spellStart"/>
            <w:r w:rsidRPr="00B0136A">
              <w:rPr>
                <w:rFonts w:ascii="Arial" w:hAnsi="Arial" w:cs="Arial"/>
                <w:sz w:val="20"/>
                <w:szCs w:val="20"/>
              </w:rPr>
              <w:t>Pk</w:t>
            </w:r>
            <w:proofErr w:type="spellEnd"/>
            <w:r w:rsidRPr="00B0136A">
              <w:rPr>
                <w:rFonts w:ascii="Arial" w:hAnsi="Arial" w:cs="Arial"/>
                <w:sz w:val="20"/>
                <w:szCs w:val="20"/>
              </w:rPr>
              <w:t>), kW - Teikėjo nurodytų ir gamintojo patvirtintų garantuotų apkrovos nuostolių vertė, t. y., išmatuoti vardinės srovės ir vardinio dažnio apkrovos (</w:t>
            </w:r>
            <w:proofErr w:type="spellStart"/>
            <w:r w:rsidRPr="00B0136A">
              <w:rPr>
                <w:rFonts w:ascii="Arial" w:hAnsi="Arial" w:cs="Arial"/>
                <w:sz w:val="20"/>
                <w:szCs w:val="20"/>
              </w:rPr>
              <w:t>Sr</w:t>
            </w:r>
            <w:proofErr w:type="spellEnd"/>
            <w:r w:rsidRPr="00B0136A">
              <w:rPr>
                <w:rFonts w:ascii="Arial" w:hAnsi="Arial" w:cs="Arial"/>
                <w:sz w:val="20"/>
                <w:szCs w:val="20"/>
              </w:rPr>
              <w:t>) nuostoliai vardinėje atšakoje;</w:t>
            </w:r>
          </w:p>
          <w:p w14:paraId="291D643E" w14:textId="77777777" w:rsidR="00125D3B" w:rsidRPr="00B0136A" w:rsidRDefault="00125D3B" w:rsidP="00125D3B">
            <w:pPr>
              <w:pStyle w:val="ListParagraph"/>
              <w:widowControl w:val="0"/>
              <w:numPr>
                <w:ilvl w:val="1"/>
                <w:numId w:val="6"/>
              </w:numPr>
              <w:tabs>
                <w:tab w:val="left" w:pos="1182"/>
              </w:tabs>
              <w:autoSpaceDE w:val="0"/>
              <w:autoSpaceDN w:val="0"/>
              <w:spacing w:before="2"/>
              <w:ind w:left="1181" w:right="127"/>
              <w:contextualSpacing w:val="0"/>
              <w:jc w:val="both"/>
              <w:rPr>
                <w:rFonts w:ascii="Arial" w:hAnsi="Arial" w:cs="Arial"/>
                <w:sz w:val="20"/>
                <w:szCs w:val="20"/>
              </w:rPr>
            </w:pPr>
            <w:r w:rsidRPr="00B0136A">
              <w:rPr>
                <w:rFonts w:ascii="Arial" w:hAnsi="Arial" w:cs="Arial"/>
                <w:sz w:val="20"/>
                <w:szCs w:val="20"/>
              </w:rPr>
              <w:t>minimalus aušinimo sistemos nuostoliai (Pc0), kW - Teikėjo nurodytų ir gamintojo patvirtintų garantuotų aušinimo sistemos nuostolių vertė, t. y. elektros energija, kurios reikia aušinimo sistemai tuščiosios veikos atveju;</w:t>
            </w:r>
          </w:p>
          <w:p w14:paraId="679B6062" w14:textId="77777777" w:rsidR="00125D3B" w:rsidRPr="00B0136A" w:rsidRDefault="00125D3B" w:rsidP="00125D3B">
            <w:pPr>
              <w:pStyle w:val="ListParagraph"/>
              <w:widowControl w:val="0"/>
              <w:numPr>
                <w:ilvl w:val="1"/>
                <w:numId w:val="6"/>
              </w:numPr>
              <w:tabs>
                <w:tab w:val="left" w:pos="1182"/>
              </w:tabs>
              <w:autoSpaceDE w:val="0"/>
              <w:autoSpaceDN w:val="0"/>
              <w:ind w:left="1181" w:right="124"/>
              <w:contextualSpacing w:val="0"/>
              <w:jc w:val="both"/>
              <w:rPr>
                <w:rFonts w:ascii="Arial" w:hAnsi="Arial" w:cs="Arial"/>
                <w:sz w:val="20"/>
                <w:szCs w:val="20"/>
              </w:rPr>
            </w:pPr>
            <w:r w:rsidRPr="00B0136A">
              <w:rPr>
                <w:rFonts w:ascii="Arial" w:hAnsi="Arial" w:cs="Arial"/>
                <w:sz w:val="20"/>
                <w:szCs w:val="20"/>
              </w:rPr>
              <w:t>aušinimo sistemos nuostoliai (</w:t>
            </w:r>
            <w:proofErr w:type="spellStart"/>
            <w:r w:rsidRPr="00B0136A">
              <w:rPr>
                <w:rFonts w:ascii="Arial" w:hAnsi="Arial" w:cs="Arial"/>
                <w:sz w:val="20"/>
                <w:szCs w:val="20"/>
              </w:rPr>
              <w:t>Pcs</w:t>
            </w:r>
            <w:proofErr w:type="spellEnd"/>
            <w:r w:rsidRPr="00B0136A">
              <w:rPr>
                <w:rFonts w:ascii="Arial" w:hAnsi="Arial" w:cs="Arial"/>
                <w:sz w:val="20"/>
                <w:szCs w:val="20"/>
              </w:rPr>
              <w:t xml:space="preserve">), kW - Teikėjo nurodytų ir gamintojo patvirtintų garantuotų aušinimo sistemos nuostolių vertė, </w:t>
            </w:r>
            <w:proofErr w:type="spellStart"/>
            <w:r w:rsidRPr="00B0136A">
              <w:rPr>
                <w:rFonts w:ascii="Arial" w:hAnsi="Arial" w:cs="Arial"/>
                <w:sz w:val="20"/>
                <w:szCs w:val="20"/>
              </w:rPr>
              <w:t>t.y</w:t>
            </w:r>
            <w:proofErr w:type="spellEnd"/>
            <w:r w:rsidRPr="00B0136A">
              <w:rPr>
                <w:rFonts w:ascii="Arial" w:hAnsi="Arial" w:cs="Arial"/>
                <w:sz w:val="20"/>
                <w:szCs w:val="20"/>
              </w:rPr>
              <w:t>. elektros energija, kurios reikia aušinimo sistemai transformatoriui veikiant vardine apkrova (</w:t>
            </w:r>
            <w:proofErr w:type="spellStart"/>
            <w:r w:rsidRPr="00B0136A">
              <w:rPr>
                <w:rFonts w:ascii="Arial" w:hAnsi="Arial" w:cs="Arial"/>
                <w:sz w:val="20"/>
                <w:szCs w:val="20"/>
              </w:rPr>
              <w:t>Sr</w:t>
            </w:r>
            <w:proofErr w:type="spellEnd"/>
            <w:r w:rsidRPr="00B0136A">
              <w:rPr>
                <w:rFonts w:ascii="Arial" w:hAnsi="Arial" w:cs="Arial"/>
                <w:sz w:val="20"/>
                <w:szCs w:val="20"/>
              </w:rPr>
              <w:t>);</w:t>
            </w:r>
          </w:p>
          <w:p w14:paraId="4ECD82D7" w14:textId="77777777" w:rsidR="00125D3B" w:rsidRPr="00B0136A" w:rsidRDefault="00125D3B" w:rsidP="00125D3B">
            <w:pPr>
              <w:pStyle w:val="ListParagraph"/>
              <w:widowControl w:val="0"/>
              <w:numPr>
                <w:ilvl w:val="1"/>
                <w:numId w:val="6"/>
              </w:numPr>
              <w:tabs>
                <w:tab w:val="left" w:pos="1182"/>
              </w:tabs>
              <w:autoSpaceDE w:val="0"/>
              <w:autoSpaceDN w:val="0"/>
              <w:spacing w:line="232" w:lineRule="exact"/>
              <w:ind w:left="1181" w:hanging="361"/>
              <w:contextualSpacing w:val="0"/>
              <w:jc w:val="both"/>
              <w:rPr>
                <w:rFonts w:ascii="Arial" w:hAnsi="Arial" w:cs="Arial"/>
                <w:sz w:val="20"/>
                <w:szCs w:val="20"/>
                <w:lang w:eastAsia="en-US"/>
              </w:rPr>
            </w:pPr>
            <w:r w:rsidRPr="00B0136A">
              <w:rPr>
                <w:rFonts w:ascii="Arial" w:hAnsi="Arial" w:cs="Arial"/>
                <w:sz w:val="20"/>
                <w:szCs w:val="20"/>
                <w:lang w:eastAsia="en-US"/>
              </w:rPr>
              <w:t>minimali didžiausio efektyvumo indekso (PEI) vertė, % - Teikėjo apskaičiuota PEI vertė pagal Komisijos reglamento (ES) Nr. 2019/1783 nurodymus;</w:t>
            </w:r>
          </w:p>
          <w:p w14:paraId="3D2159E2" w14:textId="77777777" w:rsidR="00125D3B" w:rsidRPr="00B0136A" w:rsidRDefault="00125D3B" w:rsidP="00125D3B">
            <w:pPr>
              <w:pStyle w:val="ListParagraph"/>
              <w:widowControl w:val="0"/>
              <w:numPr>
                <w:ilvl w:val="1"/>
                <w:numId w:val="6"/>
              </w:numPr>
              <w:tabs>
                <w:tab w:val="left" w:pos="1182"/>
              </w:tabs>
              <w:autoSpaceDE w:val="0"/>
              <w:autoSpaceDN w:val="0"/>
              <w:ind w:left="1181" w:right="123"/>
              <w:contextualSpacing w:val="0"/>
              <w:jc w:val="both"/>
              <w:rPr>
                <w:rFonts w:ascii="Arial" w:hAnsi="Arial" w:cs="Arial"/>
                <w:sz w:val="20"/>
                <w:szCs w:val="20"/>
              </w:rPr>
            </w:pPr>
            <w:r w:rsidRPr="00B0136A">
              <w:rPr>
                <w:rFonts w:ascii="Arial" w:hAnsi="Arial" w:cs="Arial"/>
                <w:sz w:val="20"/>
                <w:szCs w:val="20"/>
              </w:rPr>
              <w:t xml:space="preserve">n – gamintojo nustatytas </w:t>
            </w:r>
            <w:proofErr w:type="spellStart"/>
            <w:r w:rsidRPr="00B0136A">
              <w:rPr>
                <w:rFonts w:ascii="Arial" w:hAnsi="Arial" w:cs="Arial"/>
                <w:sz w:val="20"/>
                <w:szCs w:val="20"/>
              </w:rPr>
              <w:t>autotransformatoriaus</w:t>
            </w:r>
            <w:proofErr w:type="spellEnd"/>
            <w:r w:rsidRPr="00B0136A">
              <w:rPr>
                <w:rFonts w:ascii="Arial" w:hAnsi="Arial" w:cs="Arial"/>
                <w:sz w:val="20"/>
                <w:szCs w:val="20"/>
              </w:rPr>
              <w:t xml:space="preserve"> projektinis tarnavimo laikas, metais. Į dalyvio nurodomą dydį (n) bus atsižvelgiama esant vienodam siūlomų įrenginių vertinimui pagal ekonominį naudingumą, t. y., kuo ilgesnis bus nurodytas įrenginio tarnavimo laikas tuo geresnis vertinimas esant vienodam surinktam balų skaičiui (papildomai žiūrėti paaiškinimus prie k1 koeficiento apskaičiavimo formulės).</w:t>
            </w:r>
          </w:p>
          <w:p w14:paraId="4381FC88" w14:textId="77777777" w:rsidR="00125D3B" w:rsidRPr="00B0136A" w:rsidRDefault="00125D3B" w:rsidP="00125D3B">
            <w:pPr>
              <w:pStyle w:val="BodyText"/>
              <w:ind w:left="102" w:right="121"/>
              <w:rPr>
                <w:rFonts w:ascii="Arial" w:hAnsi="Arial" w:cs="Arial"/>
                <w:sz w:val="20"/>
                <w:lang w:val="lt-LT" w:eastAsia="en-US"/>
              </w:rPr>
            </w:pPr>
            <w:r w:rsidRPr="00B0136A">
              <w:rPr>
                <w:rFonts w:ascii="Arial" w:hAnsi="Arial" w:cs="Arial"/>
                <w:sz w:val="20"/>
                <w:lang w:val="lt-LT" w:eastAsia="en-US"/>
              </w:rPr>
              <w:t xml:space="preserve">Atsižvelgiant į Lietuvos Respublikos Energetikos ministro 2015 m. birželio 18 d. įsakymą Nr. 1-154 „Dėl prekių, išskyrus kelių transporto priemones, kurioms viešųjų pirkimų ir perkančiųjų subjektų atliekamų metu taikomi energijos vartojimo efektyvumo reikalavimai, sąrašo patvirtinimo“ (Lietuvos Respublikos energetikos ministro 2017  m.  liepos  18  d.  įsakymo  Nr.  1-186  redakcija)  ir  Komisijos  reglamentu  (ES) 2019/1783 (2019 m. spalio 1 d.), kuriuo iš dalies keičiamas 2014 m. gegužės 21 d. Reglamentas (ES) Nr. 548/2014 dėl Europos Parlamento ir Tarybos direktyvos 2009/125/EB nuostatų, susijusių su mažos, vidutinės ir didelės galios transformatoriais, įgyvendinimo, siūlomo transformatoriaus minimali didžiausio efektyvumo indekso (PEI) vertė neturi būti mažesnė nei 99,797% (žiūrėti 2019 m. spalio 21 d. Komisijos reglamentą (ES) Nr. 2019/1783 dėl Europos Parlamento ir Tarybos </w:t>
            </w:r>
            <w:r w:rsidRPr="00B0136A">
              <w:rPr>
                <w:rFonts w:ascii="Arial" w:hAnsi="Arial" w:cs="Arial"/>
                <w:sz w:val="20"/>
                <w:lang w:val="lt-LT" w:eastAsia="en-US"/>
              </w:rPr>
              <w:lastRenderedPageBreak/>
              <w:t>direktyvos 2009/125/EB nuostatų, susijusių su mažos, vidutinės ir didelės galios transformatoriais).</w:t>
            </w:r>
          </w:p>
          <w:p w14:paraId="6CC1C78B" w14:textId="77777777" w:rsidR="00125D3B" w:rsidRPr="00B0136A" w:rsidRDefault="00125D3B" w:rsidP="00125D3B">
            <w:pPr>
              <w:pStyle w:val="BodyText"/>
              <w:spacing w:before="2"/>
              <w:ind w:left="102"/>
              <w:rPr>
                <w:rFonts w:ascii="Arial" w:hAnsi="Arial" w:cs="Arial"/>
                <w:sz w:val="20"/>
                <w:lang w:val="lt-LT" w:eastAsia="en-US"/>
              </w:rPr>
            </w:pPr>
            <w:r w:rsidRPr="00B0136A">
              <w:rPr>
                <w:rFonts w:ascii="Arial" w:hAnsi="Arial" w:cs="Arial"/>
                <w:sz w:val="20"/>
                <w:lang w:val="lt-LT" w:eastAsia="en-US"/>
              </w:rPr>
              <w:t>Didžiausio efektyvumo indekso (PEI) apskaičiavimo formulė pagal Komisijos reglamento (ES) Nr. 2019/1783</w:t>
            </w:r>
          </w:p>
          <w:p w14:paraId="61110D0A" w14:textId="77777777" w:rsidR="00125D3B" w:rsidRPr="00B0136A" w:rsidRDefault="00125D3B" w:rsidP="00125D3B">
            <w:pPr>
              <w:pStyle w:val="BodyText"/>
              <w:ind w:left="102"/>
              <w:rPr>
                <w:rFonts w:ascii="Arial" w:hAnsi="Arial" w:cs="Arial"/>
                <w:sz w:val="20"/>
                <w:lang w:val="lt-LT" w:eastAsia="en-US"/>
              </w:rPr>
            </w:pPr>
            <w:r w:rsidRPr="00B0136A">
              <w:rPr>
                <w:rFonts w:ascii="Arial" w:hAnsi="Arial" w:cs="Arial"/>
                <w:sz w:val="20"/>
                <w:lang w:val="lt-LT" w:eastAsia="en-US"/>
              </w:rPr>
              <w:t>antrą priedą:</w:t>
            </w:r>
          </w:p>
          <w:p w14:paraId="662E280D" w14:textId="77777777" w:rsidR="00125D3B" w:rsidRPr="00B0136A" w:rsidRDefault="00125D3B" w:rsidP="00125D3B">
            <w:pPr>
              <w:pStyle w:val="ListParagraph"/>
              <w:tabs>
                <w:tab w:val="left" w:pos="0"/>
                <w:tab w:val="left" w:pos="567"/>
              </w:tabs>
              <w:spacing w:before="60" w:after="60"/>
              <w:ind w:left="0"/>
              <w:jc w:val="both"/>
              <w:rPr>
                <w:rFonts w:ascii="Arial" w:hAnsi="Arial" w:cs="Arial"/>
                <w:sz w:val="20"/>
                <w:szCs w:val="20"/>
              </w:rPr>
            </w:pPr>
          </w:p>
          <w:p w14:paraId="13C35863" w14:textId="77777777" w:rsidR="00125D3B" w:rsidRPr="00B0136A" w:rsidRDefault="00125D3B" w:rsidP="00125D3B">
            <w:pPr>
              <w:pStyle w:val="ListParagraph"/>
              <w:tabs>
                <w:tab w:val="left" w:pos="0"/>
                <w:tab w:val="left" w:pos="567"/>
              </w:tabs>
              <w:spacing w:before="60" w:after="60"/>
              <w:ind w:left="0"/>
              <w:jc w:val="both"/>
              <w:rPr>
                <w:rFonts w:ascii="Arial" w:hAnsi="Arial" w:cs="Arial"/>
                <w:sz w:val="20"/>
                <w:szCs w:val="20"/>
              </w:rPr>
            </w:pPr>
            <m:oMathPara>
              <m:oMath>
                <m:r>
                  <w:rPr>
                    <w:rFonts w:ascii="Cambria Math" w:hAnsi="Cambria Math" w:cs="Arial"/>
                    <w:sz w:val="20"/>
                    <w:szCs w:val="20"/>
                  </w:rPr>
                  <m:t>PEI</m:t>
                </m:r>
                <m:r>
                  <m:rPr>
                    <m:sty m:val="p"/>
                  </m:rPr>
                  <w:rPr>
                    <w:rFonts w:ascii="Cambria Math" w:hAnsi="Cambria Math" w:cs="Arial"/>
                    <w:sz w:val="20"/>
                    <w:szCs w:val="20"/>
                  </w:rPr>
                  <m:t>=1-</m:t>
                </m:r>
                <m:f>
                  <m:fPr>
                    <m:ctrlPr>
                      <w:rPr>
                        <w:rFonts w:ascii="Cambria Math" w:hAnsi="Cambria Math" w:cs="Arial"/>
                        <w:sz w:val="20"/>
                        <w:szCs w:val="20"/>
                      </w:rPr>
                    </m:ctrlPr>
                  </m:fPr>
                  <m:num>
                    <m:r>
                      <m:rPr>
                        <m:sty m:val="p"/>
                      </m:rPr>
                      <w:rPr>
                        <w:rFonts w:ascii="Cambria Math" w:hAnsi="Cambria Math" w:cs="Arial"/>
                        <w:sz w:val="20"/>
                        <w:szCs w:val="20"/>
                      </w:rPr>
                      <m:t>2</m:t>
                    </m:r>
                  </m:num>
                  <m:den>
                    <m:sSub>
                      <m:sSubPr>
                        <m:ctrlPr>
                          <w:rPr>
                            <w:rFonts w:ascii="Cambria Math" w:hAnsi="Cambria Math" w:cs="Arial"/>
                            <w:sz w:val="20"/>
                            <w:szCs w:val="20"/>
                          </w:rPr>
                        </m:ctrlPr>
                      </m:sSubPr>
                      <m:e>
                        <m:r>
                          <w:rPr>
                            <w:rFonts w:ascii="Cambria Math" w:hAnsi="Cambria Math" w:cs="Arial"/>
                            <w:sz w:val="20"/>
                            <w:szCs w:val="20"/>
                          </w:rPr>
                          <m:t>S</m:t>
                        </m:r>
                      </m:e>
                      <m:sub>
                        <m:r>
                          <w:rPr>
                            <w:rFonts w:ascii="Cambria Math" w:hAnsi="Cambria Math" w:cs="Arial"/>
                            <w:sz w:val="20"/>
                            <w:szCs w:val="20"/>
                          </w:rPr>
                          <m:t>r</m:t>
                        </m:r>
                      </m:sub>
                    </m:sSub>
                  </m:den>
                </m:f>
                <m:r>
                  <m:rPr>
                    <m:sty m:val="p"/>
                  </m:rPr>
                  <w:rPr>
                    <w:rFonts w:ascii="Cambria Math" w:hAnsi="Cambria Math" w:cs="Arial"/>
                    <w:sz w:val="20"/>
                    <w:szCs w:val="20"/>
                  </w:rPr>
                  <m:t>×</m:t>
                </m:r>
                <m:rad>
                  <m:radPr>
                    <m:degHide m:val="1"/>
                    <m:ctrlPr>
                      <w:rPr>
                        <w:rFonts w:ascii="Cambria Math" w:hAnsi="Cambria Math" w:cs="Arial"/>
                        <w:sz w:val="20"/>
                        <w:szCs w:val="20"/>
                      </w:rPr>
                    </m:ctrlPr>
                  </m:radPr>
                  <m:deg/>
                  <m:e>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P</m:t>
                        </m:r>
                      </m:e>
                      <m:sub>
                        <m:r>
                          <m:rPr>
                            <m:sty m:val="p"/>
                          </m:rPr>
                          <w:rPr>
                            <w:rFonts w:ascii="Cambria Math" w:hAnsi="Cambria Math" w:cs="Arial"/>
                            <w:sz w:val="20"/>
                            <w:szCs w:val="20"/>
                          </w:rPr>
                          <m:t>0</m:t>
                        </m:r>
                      </m:sub>
                    </m:sSub>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c</m:t>
                        </m:r>
                        <m:r>
                          <m:rPr>
                            <m:sty m:val="p"/>
                          </m:rPr>
                          <w:rPr>
                            <w:rFonts w:ascii="Cambria Math" w:hAnsi="Cambria Math" w:cs="Arial"/>
                            <w:sz w:val="20"/>
                            <w:szCs w:val="20"/>
                          </w:rPr>
                          <m:t>0</m:t>
                        </m:r>
                      </m:sub>
                    </m:sSub>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ck</m:t>
                        </m:r>
                      </m:sub>
                    </m:sSub>
                    <m:d>
                      <m:dPr>
                        <m:ctrlPr>
                          <w:rPr>
                            <w:rFonts w:ascii="Cambria Math" w:hAnsi="Cambria Math" w:cs="Arial"/>
                            <w:sz w:val="20"/>
                            <w:szCs w:val="20"/>
                          </w:rPr>
                        </m:ctrlPr>
                      </m:dPr>
                      <m:e>
                        <m:sSub>
                          <m:sSubPr>
                            <m:ctrlPr>
                              <w:rPr>
                                <w:rFonts w:ascii="Cambria Math" w:hAnsi="Cambria Math" w:cs="Arial"/>
                                <w:sz w:val="20"/>
                                <w:szCs w:val="20"/>
                              </w:rPr>
                            </m:ctrlPr>
                          </m:sSubPr>
                          <m:e>
                            <m:r>
                              <w:rPr>
                                <w:rFonts w:ascii="Cambria Math" w:hAnsi="Cambria Math" w:cs="Arial"/>
                                <w:sz w:val="20"/>
                                <w:szCs w:val="20"/>
                              </w:rPr>
                              <m:t>k</m:t>
                            </m:r>
                          </m:e>
                          <m:sub>
                            <m:r>
                              <w:rPr>
                                <w:rFonts w:ascii="Cambria Math" w:hAnsi="Cambria Math" w:cs="Arial"/>
                                <w:sz w:val="20"/>
                                <w:szCs w:val="20"/>
                              </w:rPr>
                              <m:t>PEI</m:t>
                            </m:r>
                          </m:sub>
                        </m:sSub>
                      </m:e>
                    </m:d>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k</m:t>
                        </m:r>
                      </m:sub>
                    </m:sSub>
                  </m:e>
                </m:rad>
              </m:oMath>
            </m:oMathPara>
          </w:p>
          <w:p w14:paraId="48228363" w14:textId="77777777" w:rsidR="00125D3B" w:rsidRPr="00B0136A" w:rsidRDefault="00125D3B" w:rsidP="00125D3B">
            <w:pPr>
              <w:pStyle w:val="ListParagraph"/>
              <w:tabs>
                <w:tab w:val="left" w:pos="0"/>
                <w:tab w:val="left" w:pos="567"/>
              </w:tabs>
              <w:spacing w:before="60" w:after="60"/>
              <w:ind w:left="0"/>
              <w:jc w:val="both"/>
              <w:rPr>
                <w:rFonts w:ascii="Arial" w:hAnsi="Arial" w:cs="Arial"/>
                <w:sz w:val="20"/>
                <w:szCs w:val="20"/>
              </w:rPr>
            </w:pPr>
          </w:p>
          <w:p w14:paraId="6F175A5C"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p>
          <w:p w14:paraId="6DF25CC0"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r w:rsidRPr="00B0136A">
              <w:rPr>
                <w:rFonts w:ascii="Arial" w:hAnsi="Arial" w:cs="Arial"/>
                <w:sz w:val="20"/>
                <w:szCs w:val="20"/>
              </w:rPr>
              <w:t>kur:</w:t>
            </w:r>
          </w:p>
          <w:p w14:paraId="05DD3028"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r w:rsidRPr="00B0136A">
              <w:rPr>
                <w:rFonts w:ascii="Arial" w:hAnsi="Arial" w:cs="Arial"/>
                <w:sz w:val="20"/>
                <w:szCs w:val="20"/>
              </w:rPr>
              <w:t xml:space="preserve"> </w:t>
            </w:r>
          </w:p>
          <w:p w14:paraId="118D327F"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r w:rsidRPr="00B0136A">
              <w:rPr>
                <w:rFonts w:ascii="Arial" w:hAnsi="Arial" w:cs="Arial"/>
                <w:sz w:val="20"/>
                <w:szCs w:val="20"/>
              </w:rPr>
              <w:t xml:space="preserve"> </w:t>
            </w:r>
          </w:p>
          <w:p w14:paraId="70D6DBF2"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r w:rsidRPr="00B0136A">
              <w:rPr>
                <w:rFonts w:ascii="Arial" w:hAnsi="Arial" w:cs="Arial"/>
                <w:sz w:val="20"/>
                <w:szCs w:val="20"/>
              </w:rPr>
              <w:t>P0  - yra tuščiosios veikos nuostoliai, išmatuoti esant vardinei įtampai ir vardiniam dažniui,  vardinėje atšakoje, kW;</w:t>
            </w:r>
          </w:p>
          <w:p w14:paraId="7DC0BA63"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proofErr w:type="spellStart"/>
            <w:r w:rsidRPr="00B0136A">
              <w:rPr>
                <w:rFonts w:ascii="Arial" w:hAnsi="Arial" w:cs="Arial"/>
                <w:sz w:val="20"/>
                <w:szCs w:val="20"/>
              </w:rPr>
              <w:t>PcO</w:t>
            </w:r>
            <w:proofErr w:type="spellEnd"/>
            <w:r w:rsidRPr="00B0136A">
              <w:rPr>
                <w:rFonts w:ascii="Arial" w:hAnsi="Arial" w:cs="Arial"/>
                <w:sz w:val="20"/>
                <w:szCs w:val="20"/>
              </w:rPr>
              <w:t xml:space="preserve"> - yra elektros energija, kurios reikia aušinimo sistemai tuščiosios veikos atveju, kW;</w:t>
            </w:r>
          </w:p>
          <w:p w14:paraId="65BB6252"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proofErr w:type="spellStart"/>
            <w:r w:rsidRPr="00B0136A">
              <w:rPr>
                <w:rFonts w:ascii="Arial" w:hAnsi="Arial" w:cs="Arial"/>
                <w:sz w:val="20"/>
                <w:szCs w:val="20"/>
              </w:rPr>
              <w:t>Pk</w:t>
            </w:r>
            <w:proofErr w:type="spellEnd"/>
            <w:r w:rsidRPr="00B0136A">
              <w:rPr>
                <w:rFonts w:ascii="Arial" w:hAnsi="Arial" w:cs="Arial"/>
                <w:sz w:val="20"/>
                <w:szCs w:val="20"/>
              </w:rPr>
              <w:t xml:space="preserve"> - yra išmatuoti vardinės srovės ir vardinio dažnio apkrovos nuostoliai vardinėje atšakoje, pakoreguoti, atsižvelgiant į nominaliąją temperatūrą (pagal IEC 60076-1 standarto reikalavimus), kW;</w:t>
            </w:r>
          </w:p>
          <w:p w14:paraId="60B7D574"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proofErr w:type="spellStart"/>
            <w:r w:rsidRPr="00B0136A">
              <w:rPr>
                <w:rFonts w:ascii="Arial" w:hAnsi="Arial" w:cs="Arial"/>
                <w:sz w:val="20"/>
                <w:szCs w:val="20"/>
              </w:rPr>
              <w:t>Pck</w:t>
            </w:r>
            <w:proofErr w:type="spellEnd"/>
            <w:r w:rsidRPr="00B0136A">
              <w:rPr>
                <w:rFonts w:ascii="Arial" w:hAnsi="Arial" w:cs="Arial"/>
                <w:sz w:val="20"/>
                <w:szCs w:val="20"/>
              </w:rPr>
              <w:t>(</w:t>
            </w:r>
            <w:proofErr w:type="spellStart"/>
            <w:r w:rsidRPr="00B0136A">
              <w:rPr>
                <w:rFonts w:ascii="Arial" w:hAnsi="Arial" w:cs="Arial"/>
                <w:sz w:val="20"/>
                <w:szCs w:val="20"/>
              </w:rPr>
              <w:t>kPEI</w:t>
            </w:r>
            <w:proofErr w:type="spellEnd"/>
            <w:r w:rsidRPr="00B0136A">
              <w:rPr>
                <w:rFonts w:ascii="Arial" w:hAnsi="Arial" w:cs="Arial"/>
                <w:sz w:val="20"/>
                <w:szCs w:val="20"/>
              </w:rPr>
              <w:t xml:space="preserve">) - yra elektros energija, kurios kartu su Pc0 (papildomai) reikia aušinimo sistemai, kad ji veiktų esant </w:t>
            </w:r>
            <w:proofErr w:type="spellStart"/>
            <w:r w:rsidRPr="00B0136A">
              <w:rPr>
                <w:rFonts w:ascii="Arial" w:hAnsi="Arial" w:cs="Arial"/>
                <w:sz w:val="20"/>
                <w:szCs w:val="20"/>
              </w:rPr>
              <w:t>kPEI</w:t>
            </w:r>
            <w:proofErr w:type="spellEnd"/>
            <w:r w:rsidRPr="00B0136A">
              <w:rPr>
                <w:rFonts w:ascii="Arial" w:hAnsi="Arial" w:cs="Arial"/>
                <w:sz w:val="20"/>
                <w:szCs w:val="20"/>
              </w:rPr>
              <w:t xml:space="preserve"> kartų vardinei apkrovai. </w:t>
            </w:r>
            <w:proofErr w:type="spellStart"/>
            <w:r w:rsidRPr="00B0136A">
              <w:rPr>
                <w:rFonts w:ascii="Arial" w:hAnsi="Arial" w:cs="Arial"/>
                <w:sz w:val="20"/>
                <w:szCs w:val="20"/>
              </w:rPr>
              <w:t>Pck</w:t>
            </w:r>
            <w:proofErr w:type="spellEnd"/>
            <w:r w:rsidRPr="00B0136A">
              <w:rPr>
                <w:rFonts w:ascii="Arial" w:hAnsi="Arial" w:cs="Arial"/>
                <w:sz w:val="20"/>
                <w:szCs w:val="20"/>
              </w:rPr>
              <w:t xml:space="preserve"> yra apkrovos funkcija. </w:t>
            </w:r>
            <w:proofErr w:type="spellStart"/>
            <w:r w:rsidRPr="00B0136A">
              <w:rPr>
                <w:rFonts w:ascii="Arial" w:hAnsi="Arial" w:cs="Arial"/>
                <w:sz w:val="20"/>
                <w:szCs w:val="20"/>
              </w:rPr>
              <w:t>Pck</w:t>
            </w:r>
            <w:proofErr w:type="spellEnd"/>
            <w:r w:rsidRPr="00B0136A">
              <w:rPr>
                <w:rFonts w:ascii="Arial" w:hAnsi="Arial" w:cs="Arial"/>
                <w:sz w:val="20"/>
                <w:szCs w:val="20"/>
              </w:rPr>
              <w:t>(</w:t>
            </w:r>
            <w:proofErr w:type="spellStart"/>
            <w:r w:rsidRPr="00B0136A">
              <w:rPr>
                <w:rFonts w:ascii="Arial" w:hAnsi="Arial" w:cs="Arial"/>
                <w:sz w:val="20"/>
                <w:szCs w:val="20"/>
              </w:rPr>
              <w:t>kPEI</w:t>
            </w:r>
            <w:proofErr w:type="spellEnd"/>
            <w:r w:rsidRPr="00B0136A">
              <w:rPr>
                <w:rFonts w:ascii="Arial" w:hAnsi="Arial" w:cs="Arial"/>
                <w:sz w:val="20"/>
                <w:szCs w:val="20"/>
              </w:rPr>
              <w:t>) yra gaunama atliekant tipinį bandymą išmatavus ventiliatorių ir skysčių (alyvos) siurblių variklių galią, kW;</w:t>
            </w:r>
          </w:p>
          <w:p w14:paraId="0784B20A"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proofErr w:type="spellStart"/>
            <w:r w:rsidRPr="00B0136A">
              <w:rPr>
                <w:rFonts w:ascii="Arial" w:hAnsi="Arial" w:cs="Arial"/>
                <w:sz w:val="20"/>
                <w:szCs w:val="20"/>
              </w:rPr>
              <w:t>kPEI</w:t>
            </w:r>
            <w:proofErr w:type="spellEnd"/>
            <w:r w:rsidRPr="00B0136A">
              <w:rPr>
                <w:rFonts w:ascii="Arial" w:hAnsi="Arial" w:cs="Arial"/>
                <w:sz w:val="20"/>
                <w:szCs w:val="20"/>
              </w:rPr>
              <w:t xml:space="preserve"> - yra apkrovos koeficientas, kuriam esant nustatomas didžiausio efektyvumo indeksas;</w:t>
            </w:r>
          </w:p>
          <w:p w14:paraId="08AED685"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proofErr w:type="spellStart"/>
            <w:r w:rsidRPr="00B0136A">
              <w:rPr>
                <w:rFonts w:ascii="Arial" w:hAnsi="Arial" w:cs="Arial"/>
                <w:sz w:val="20"/>
                <w:szCs w:val="20"/>
              </w:rPr>
              <w:t>Sr</w:t>
            </w:r>
            <w:proofErr w:type="spellEnd"/>
            <w:r w:rsidRPr="00B0136A">
              <w:rPr>
                <w:rFonts w:ascii="Arial" w:hAnsi="Arial" w:cs="Arial"/>
                <w:sz w:val="20"/>
                <w:szCs w:val="20"/>
              </w:rPr>
              <w:t xml:space="preserve"> - yra transformatoriaus arba </w:t>
            </w:r>
            <w:proofErr w:type="spellStart"/>
            <w:r w:rsidRPr="00B0136A">
              <w:rPr>
                <w:rFonts w:ascii="Arial" w:hAnsi="Arial" w:cs="Arial"/>
                <w:sz w:val="20"/>
                <w:szCs w:val="20"/>
              </w:rPr>
              <w:t>autotransformatoriaus</w:t>
            </w:r>
            <w:proofErr w:type="spellEnd"/>
            <w:r w:rsidRPr="00B0136A">
              <w:rPr>
                <w:rFonts w:ascii="Arial" w:hAnsi="Arial" w:cs="Arial"/>
                <w:sz w:val="20"/>
                <w:szCs w:val="20"/>
              </w:rPr>
              <w:t xml:space="preserve"> vardinė galia, kuria grindžiami </w:t>
            </w:r>
            <w:proofErr w:type="spellStart"/>
            <w:r w:rsidRPr="00B0136A">
              <w:rPr>
                <w:rFonts w:ascii="Arial" w:hAnsi="Arial" w:cs="Arial"/>
                <w:sz w:val="20"/>
                <w:szCs w:val="20"/>
              </w:rPr>
              <w:t>Pk</w:t>
            </w:r>
            <w:proofErr w:type="spellEnd"/>
            <w:r w:rsidRPr="00B0136A">
              <w:rPr>
                <w:rFonts w:ascii="Arial" w:hAnsi="Arial" w:cs="Arial"/>
                <w:sz w:val="20"/>
                <w:szCs w:val="20"/>
              </w:rPr>
              <w:t>, kW.</w:t>
            </w:r>
          </w:p>
          <w:p w14:paraId="3668583A"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r w:rsidRPr="00B0136A">
              <w:rPr>
                <w:rFonts w:ascii="Arial" w:hAnsi="Arial" w:cs="Arial"/>
                <w:sz w:val="20"/>
                <w:szCs w:val="20"/>
              </w:rPr>
              <w:t xml:space="preserve"> </w:t>
            </w:r>
          </w:p>
          <w:p w14:paraId="5C0D6D7A" w14:textId="277FCFA9" w:rsidR="00125D3B" w:rsidRDefault="00125D3B" w:rsidP="00125D3B">
            <w:pPr>
              <w:pStyle w:val="ListParagraph"/>
              <w:tabs>
                <w:tab w:val="left" w:pos="0"/>
                <w:tab w:val="left" w:pos="567"/>
              </w:tabs>
              <w:spacing w:before="60" w:after="60"/>
              <w:ind w:left="0"/>
              <w:jc w:val="both"/>
              <w:rPr>
                <w:rFonts w:ascii="Arial" w:hAnsi="Arial" w:cs="Arial"/>
                <w:sz w:val="20"/>
                <w:szCs w:val="20"/>
              </w:rPr>
            </w:pPr>
            <w:r w:rsidRPr="00B0136A">
              <w:rPr>
                <w:rFonts w:ascii="Arial" w:hAnsi="Arial" w:cs="Arial"/>
                <w:sz w:val="20"/>
                <w:szCs w:val="20"/>
              </w:rPr>
              <w:t>Energijos nuostolių, apskaičiuotų 35 metų laikotarpiui, sąnaudų (P) apskaičiavimo formulė:</w:t>
            </w:r>
          </w:p>
          <w:p w14:paraId="0DF3BEA9" w14:textId="77777777" w:rsidR="00A01097" w:rsidRDefault="00A01097" w:rsidP="00125D3B">
            <w:pPr>
              <w:pStyle w:val="ListParagraph"/>
              <w:tabs>
                <w:tab w:val="left" w:pos="0"/>
                <w:tab w:val="left" w:pos="567"/>
              </w:tabs>
              <w:spacing w:before="60" w:after="60"/>
              <w:ind w:left="0"/>
              <w:jc w:val="both"/>
              <w:rPr>
                <w:rFonts w:ascii="Arial" w:hAnsi="Arial" w:cs="Arial"/>
                <w:sz w:val="20"/>
                <w:szCs w:val="20"/>
              </w:rPr>
            </w:pPr>
          </w:p>
          <w:p w14:paraId="24B5C3D5" w14:textId="0DE10485" w:rsidR="00A01097" w:rsidRPr="00A01097" w:rsidRDefault="00095D3E" w:rsidP="00A01097">
            <w:pPr>
              <w:pStyle w:val="ListParagraph"/>
              <w:tabs>
                <w:tab w:val="left" w:pos="0"/>
                <w:tab w:val="left" w:pos="567"/>
              </w:tabs>
              <w:spacing w:before="60" w:after="60"/>
              <w:ind w:left="0"/>
              <w:jc w:val="both"/>
              <w:rPr>
                <w:rFonts w:ascii="Arial" w:hAnsi="Arial" w:cs="Arial"/>
                <w:sz w:val="20"/>
                <w:szCs w:val="20"/>
              </w:rPr>
            </w:pPr>
            <m:oMathPara>
              <m:oMath>
                <m:r>
                  <w:rPr>
                    <w:rFonts w:ascii="Cambria Math" w:hAnsi="Cambria Math" w:cs="Arial"/>
                    <w:sz w:val="20"/>
                    <w:szCs w:val="20"/>
                  </w:rPr>
                  <m:t>P</m:t>
                </m:r>
                <m:r>
                  <m:rPr>
                    <m:sty m:val="p"/>
                  </m:rPr>
                  <w:rPr>
                    <w:rFonts w:ascii="Cambria Math" w:hAnsi="Cambria Math" w:cs="Arial"/>
                    <w:sz w:val="20"/>
                    <w:szCs w:val="20"/>
                  </w:rPr>
                  <m:t>=2x</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200</m:t>
                    </m:r>
                  </m:sub>
                </m:sSub>
                <m:r>
                  <w:rPr>
                    <w:rFonts w:ascii="Cambria Math" w:hAnsi="Cambria Math" w:cs="Arial"/>
                    <w:sz w:val="20"/>
                    <w:szCs w:val="20"/>
                  </w:rPr>
                  <m:t>+2</m:t>
                </m:r>
                <m:r>
                  <w:rPr>
                    <w:rStyle w:val="FootnoteReference"/>
                    <w:rFonts w:ascii="Cambria Math" w:hAnsi="Cambria Math" w:cs="Arial"/>
                    <w:i/>
                    <w:sz w:val="20"/>
                    <w:szCs w:val="20"/>
                  </w:rPr>
                  <w:footnoteReference w:id="1"/>
                </m:r>
                <m:r>
                  <w:rPr>
                    <w:rFonts w:ascii="Cambria Math" w:hAnsi="Cambria Math" w:cs="Arial"/>
                    <w:sz w:val="20"/>
                    <w:szCs w:val="20"/>
                  </w:rPr>
                  <m:t>x</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350</m:t>
                    </m:r>
                  </m:sub>
                </m:sSub>
              </m:oMath>
            </m:oMathPara>
          </w:p>
          <w:p w14:paraId="57DE8F0E" w14:textId="77777777" w:rsidR="00A01097" w:rsidRPr="00344F81" w:rsidRDefault="00A01097" w:rsidP="00A01097">
            <w:pPr>
              <w:pStyle w:val="ListParagraph"/>
              <w:tabs>
                <w:tab w:val="left" w:pos="0"/>
                <w:tab w:val="left" w:pos="567"/>
              </w:tabs>
              <w:spacing w:before="60" w:after="60"/>
              <w:ind w:left="0"/>
              <w:jc w:val="both"/>
              <w:rPr>
                <w:rFonts w:ascii="Arial" w:hAnsi="Arial" w:cs="Arial"/>
                <w:sz w:val="20"/>
                <w:szCs w:val="20"/>
              </w:rPr>
            </w:pPr>
          </w:p>
          <w:p w14:paraId="1A6B74D9" w14:textId="7201820F" w:rsidR="00A01097" w:rsidRPr="00344F81" w:rsidRDefault="00A01097" w:rsidP="00A01097">
            <w:pPr>
              <w:pStyle w:val="ListParagraph"/>
              <w:tabs>
                <w:tab w:val="left" w:pos="0"/>
                <w:tab w:val="left" w:pos="567"/>
              </w:tabs>
              <w:spacing w:before="60" w:after="60"/>
              <w:ind w:left="0"/>
              <w:jc w:val="both"/>
              <w:rPr>
                <w:rFonts w:ascii="Arial" w:hAnsi="Arial" w:cs="Arial"/>
                <w:sz w:val="20"/>
                <w:szCs w:val="20"/>
                <w:vertAlign w:val="subscript"/>
              </w:rPr>
            </w:pPr>
            <w:r>
              <w:rPr>
                <w:rFonts w:ascii="Arial" w:hAnsi="Arial" w:cs="Arial"/>
                <w:sz w:val="20"/>
                <w:szCs w:val="20"/>
              </w:rPr>
              <w:lastRenderedPageBreak/>
              <w:t>Kur P</w:t>
            </w:r>
            <w:r>
              <w:rPr>
                <w:rFonts w:ascii="Arial" w:hAnsi="Arial" w:cs="Arial"/>
                <w:sz w:val="20"/>
                <w:szCs w:val="20"/>
                <w:vertAlign w:val="subscript"/>
              </w:rPr>
              <w:t>200</w:t>
            </w:r>
            <w:r>
              <w:rPr>
                <w:rFonts w:ascii="Arial" w:hAnsi="Arial" w:cs="Arial"/>
                <w:sz w:val="20"/>
                <w:szCs w:val="20"/>
              </w:rPr>
              <w:t xml:space="preserve"> yra vieno 200 MVA galios </w:t>
            </w:r>
            <w:proofErr w:type="spellStart"/>
            <w:r>
              <w:rPr>
                <w:rFonts w:ascii="Arial" w:hAnsi="Arial" w:cs="Arial"/>
                <w:sz w:val="20"/>
                <w:szCs w:val="20"/>
              </w:rPr>
              <w:t>autotransformatoriaus</w:t>
            </w:r>
            <w:proofErr w:type="spellEnd"/>
            <w:r>
              <w:rPr>
                <w:rFonts w:ascii="Arial" w:hAnsi="Arial" w:cs="Arial"/>
                <w:sz w:val="20"/>
                <w:szCs w:val="20"/>
              </w:rPr>
              <w:t xml:space="preserve"> energijos nuostoliai apskaičiuoti </w:t>
            </w:r>
            <w:r w:rsidRPr="00B0136A">
              <w:rPr>
                <w:rFonts w:ascii="Arial" w:hAnsi="Arial" w:cs="Arial"/>
                <w:sz w:val="20"/>
                <w:szCs w:val="20"/>
              </w:rPr>
              <w:t>35 metų laikotarpiui</w:t>
            </w:r>
            <w:r>
              <w:rPr>
                <w:rFonts w:ascii="Arial" w:hAnsi="Arial" w:cs="Arial"/>
                <w:sz w:val="20"/>
                <w:szCs w:val="20"/>
              </w:rPr>
              <w:t>, o P</w:t>
            </w:r>
            <w:r w:rsidR="00680FE4">
              <w:rPr>
                <w:rFonts w:ascii="Arial" w:hAnsi="Arial" w:cs="Arial"/>
                <w:sz w:val="20"/>
                <w:szCs w:val="20"/>
                <w:vertAlign w:val="subscript"/>
              </w:rPr>
              <w:t>350</w:t>
            </w:r>
            <w:r>
              <w:rPr>
                <w:rFonts w:ascii="Arial" w:hAnsi="Arial" w:cs="Arial"/>
                <w:sz w:val="20"/>
                <w:szCs w:val="20"/>
                <w:vertAlign w:val="subscript"/>
              </w:rPr>
              <w:t xml:space="preserve"> </w:t>
            </w:r>
            <w:r>
              <w:rPr>
                <w:rFonts w:ascii="Arial" w:hAnsi="Arial" w:cs="Arial"/>
                <w:sz w:val="20"/>
                <w:szCs w:val="20"/>
              </w:rPr>
              <w:t xml:space="preserve">yra vieno </w:t>
            </w:r>
            <w:r w:rsidR="00C70A4B">
              <w:rPr>
                <w:rFonts w:ascii="Arial" w:hAnsi="Arial" w:cs="Arial"/>
                <w:sz w:val="20"/>
                <w:szCs w:val="20"/>
              </w:rPr>
              <w:t xml:space="preserve">350 </w:t>
            </w:r>
            <w:r>
              <w:rPr>
                <w:rFonts w:ascii="Arial" w:hAnsi="Arial" w:cs="Arial"/>
                <w:sz w:val="20"/>
                <w:szCs w:val="20"/>
              </w:rPr>
              <w:t xml:space="preserve">MVA galios </w:t>
            </w:r>
            <w:proofErr w:type="spellStart"/>
            <w:r>
              <w:rPr>
                <w:rFonts w:ascii="Arial" w:hAnsi="Arial" w:cs="Arial"/>
                <w:sz w:val="20"/>
                <w:szCs w:val="20"/>
              </w:rPr>
              <w:t>autotransformatoriaus</w:t>
            </w:r>
            <w:proofErr w:type="spellEnd"/>
            <w:r>
              <w:rPr>
                <w:rFonts w:ascii="Arial" w:hAnsi="Arial" w:cs="Arial"/>
                <w:sz w:val="20"/>
                <w:szCs w:val="20"/>
              </w:rPr>
              <w:t xml:space="preserve"> energijos nuostoliai apskaičiuoti </w:t>
            </w:r>
            <w:r w:rsidRPr="00B0136A">
              <w:rPr>
                <w:rFonts w:ascii="Arial" w:hAnsi="Arial" w:cs="Arial"/>
                <w:sz w:val="20"/>
                <w:szCs w:val="20"/>
              </w:rPr>
              <w:t>35 metų laikotarpiui</w:t>
            </w:r>
            <w:r>
              <w:rPr>
                <w:rFonts w:ascii="Arial" w:hAnsi="Arial" w:cs="Arial"/>
                <w:sz w:val="20"/>
                <w:szCs w:val="20"/>
              </w:rPr>
              <w:t>, apskaičiuoti pagal formulę:</w:t>
            </w:r>
          </w:p>
          <w:p w14:paraId="473DB089" w14:textId="77777777" w:rsidR="00A01097" w:rsidRDefault="00A01097" w:rsidP="00125D3B">
            <w:pPr>
              <w:pStyle w:val="ListParagraph"/>
              <w:tabs>
                <w:tab w:val="left" w:pos="0"/>
                <w:tab w:val="left" w:pos="567"/>
              </w:tabs>
              <w:spacing w:before="60" w:after="60"/>
              <w:ind w:left="0"/>
              <w:jc w:val="both"/>
              <w:rPr>
                <w:rFonts w:ascii="Arial" w:hAnsi="Arial" w:cs="Arial"/>
                <w:sz w:val="20"/>
                <w:szCs w:val="20"/>
              </w:rPr>
            </w:pPr>
          </w:p>
          <w:p w14:paraId="364E70BB" w14:textId="77777777" w:rsidR="00A01097" w:rsidRDefault="00A01097" w:rsidP="00125D3B">
            <w:pPr>
              <w:pStyle w:val="ListParagraph"/>
              <w:tabs>
                <w:tab w:val="left" w:pos="0"/>
                <w:tab w:val="left" w:pos="567"/>
              </w:tabs>
              <w:spacing w:before="60" w:after="60"/>
              <w:ind w:left="0"/>
              <w:jc w:val="both"/>
              <w:rPr>
                <w:rFonts w:ascii="Arial" w:hAnsi="Arial" w:cs="Arial"/>
                <w:sz w:val="20"/>
                <w:szCs w:val="20"/>
              </w:rPr>
            </w:pPr>
          </w:p>
          <w:p w14:paraId="25861A90" w14:textId="77777777" w:rsidR="00A01097" w:rsidRPr="00B0136A" w:rsidRDefault="00A01097" w:rsidP="00125D3B">
            <w:pPr>
              <w:pStyle w:val="ListParagraph"/>
              <w:tabs>
                <w:tab w:val="left" w:pos="0"/>
                <w:tab w:val="left" w:pos="567"/>
              </w:tabs>
              <w:spacing w:before="60" w:after="60"/>
              <w:ind w:left="0"/>
              <w:jc w:val="both"/>
              <w:rPr>
                <w:rFonts w:ascii="Arial" w:hAnsi="Arial" w:cs="Arial"/>
                <w:sz w:val="20"/>
                <w:szCs w:val="20"/>
              </w:rPr>
            </w:pPr>
          </w:p>
          <w:p w14:paraId="0A2DDB4F" w14:textId="1038591C" w:rsidR="00125D3B" w:rsidRPr="00B0136A" w:rsidRDefault="00A44845" w:rsidP="2D5F4523">
            <w:pPr>
              <w:pStyle w:val="ListParagraph"/>
              <w:tabs>
                <w:tab w:val="left" w:pos="567"/>
              </w:tabs>
              <w:spacing w:before="60" w:after="60"/>
              <w:ind w:left="0"/>
              <w:jc w:val="both"/>
              <w:rPr>
                <w:rFonts w:ascii="Arial" w:hAnsi="Arial"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x</m:t>
                    </m:r>
                  </m:sub>
                </m:sSub>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k</m:t>
                    </m:r>
                  </m:e>
                  <m:sub>
                    <m:r>
                      <m:rPr>
                        <m:sty m:val="p"/>
                      </m:rPr>
                      <w:rPr>
                        <w:rFonts w:ascii="Cambria Math" w:hAnsi="Cambria Math" w:cs="Arial"/>
                        <w:sz w:val="20"/>
                        <w:szCs w:val="20"/>
                      </w:rPr>
                      <m:t>1</m:t>
                    </m:r>
                  </m:sub>
                </m:sSub>
                <m:r>
                  <m:rPr>
                    <m:sty m:val="p"/>
                  </m:rPr>
                  <w:rPr>
                    <w:rFonts w:ascii="Cambria Math" w:hAnsi="Cambria Math" w:cs="Arial"/>
                    <w:sz w:val="20"/>
                    <w:szCs w:val="20"/>
                  </w:rPr>
                  <m:t>×</m:t>
                </m:r>
                <m:d>
                  <m:dPr>
                    <m:ctrlPr>
                      <w:rPr>
                        <w:rFonts w:ascii="Cambria Math" w:hAnsi="Cambria Math" w:cs="Arial"/>
                        <w:sz w:val="20"/>
                        <w:szCs w:val="20"/>
                      </w:rPr>
                    </m:ctrlPr>
                  </m:dPr>
                  <m:e>
                    <m:sSub>
                      <m:sSubPr>
                        <m:ctrlPr>
                          <w:rPr>
                            <w:rFonts w:ascii="Cambria Math" w:hAnsi="Cambria Math" w:cs="Arial"/>
                            <w:sz w:val="20"/>
                            <w:szCs w:val="20"/>
                          </w:rPr>
                        </m:ctrlPr>
                      </m:sSubPr>
                      <m:e>
                        <m:r>
                          <w:rPr>
                            <w:rFonts w:ascii="Cambria Math" w:hAnsi="Cambria Math" w:cs="Arial"/>
                            <w:sz w:val="20"/>
                            <w:szCs w:val="20"/>
                          </w:rPr>
                          <m:t>P</m:t>
                        </m:r>
                      </m:e>
                      <m:sub>
                        <m:r>
                          <m:rPr>
                            <m:sty m:val="p"/>
                          </m:rPr>
                          <w:rPr>
                            <w:rFonts w:ascii="Cambria Math" w:hAnsi="Cambria Math" w:cs="Arial"/>
                            <w:sz w:val="20"/>
                            <w:szCs w:val="20"/>
                          </w:rPr>
                          <m:t>0</m:t>
                        </m:r>
                      </m:sub>
                    </m:sSub>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c</m:t>
                        </m:r>
                        <m:r>
                          <m:rPr>
                            <m:sty m:val="p"/>
                          </m:rPr>
                          <w:rPr>
                            <w:rFonts w:ascii="Cambria Math" w:hAnsi="Cambria Math" w:cs="Arial"/>
                            <w:sz w:val="20"/>
                            <w:szCs w:val="20"/>
                          </w:rPr>
                          <m:t>0</m:t>
                        </m:r>
                      </m:sub>
                    </m:sSub>
                  </m:e>
                </m:d>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k</m:t>
                    </m:r>
                  </m:e>
                  <m:sub>
                    <m:r>
                      <m:rPr>
                        <m:sty m:val="p"/>
                      </m:rPr>
                      <w:rPr>
                        <w:rFonts w:ascii="Cambria Math" w:hAnsi="Cambria Math" w:cs="Arial"/>
                        <w:sz w:val="20"/>
                        <w:szCs w:val="20"/>
                      </w:rPr>
                      <m:t>2</m:t>
                    </m:r>
                  </m:sub>
                </m:sSub>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k</m:t>
                    </m:r>
                  </m:sub>
                </m:sSub>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cs</m:t>
                    </m:r>
                  </m:sub>
                </m:sSub>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c</m:t>
                    </m:r>
                    <m:r>
                      <m:rPr>
                        <m:sty m:val="p"/>
                      </m:rPr>
                      <w:rPr>
                        <w:rFonts w:ascii="Cambria Math" w:hAnsi="Cambria Math" w:cs="Arial"/>
                        <w:sz w:val="20"/>
                        <w:szCs w:val="20"/>
                      </w:rPr>
                      <m:t>0</m:t>
                    </m:r>
                  </m:sub>
                </m:sSub>
                <m:r>
                  <m:rPr>
                    <m:sty m:val="p"/>
                  </m:rPr>
                  <w:rPr>
                    <w:rFonts w:ascii="Cambria Math" w:hAnsi="Cambria Math" w:cs="Arial"/>
                    <w:sz w:val="20"/>
                    <w:szCs w:val="20"/>
                  </w:rPr>
                  <m:t>)</m:t>
                </m:r>
              </m:oMath>
            </m:oMathPara>
          </w:p>
          <w:p w14:paraId="57F6F3AA" w14:textId="77777777" w:rsidR="00A01097" w:rsidRDefault="00A01097" w:rsidP="00125D3B">
            <w:pPr>
              <w:pStyle w:val="ListParagraph"/>
              <w:tabs>
                <w:tab w:val="left" w:pos="0"/>
                <w:tab w:val="left" w:pos="567"/>
              </w:tabs>
              <w:spacing w:before="60" w:after="60"/>
              <w:jc w:val="both"/>
              <w:rPr>
                <w:rFonts w:ascii="Arial" w:hAnsi="Arial" w:cs="Arial"/>
                <w:sz w:val="20"/>
                <w:szCs w:val="20"/>
              </w:rPr>
            </w:pPr>
          </w:p>
          <w:p w14:paraId="1C430E17" w14:textId="4E6D738E" w:rsidR="00125D3B" w:rsidRPr="00B0136A" w:rsidRDefault="00125D3B" w:rsidP="00125D3B">
            <w:pPr>
              <w:pStyle w:val="ListParagraph"/>
              <w:tabs>
                <w:tab w:val="left" w:pos="0"/>
                <w:tab w:val="left" w:pos="567"/>
              </w:tabs>
              <w:spacing w:before="60" w:after="60"/>
              <w:jc w:val="both"/>
              <w:rPr>
                <w:rFonts w:ascii="Arial" w:hAnsi="Arial" w:cs="Arial"/>
                <w:sz w:val="20"/>
                <w:szCs w:val="20"/>
              </w:rPr>
            </w:pPr>
            <w:r w:rsidRPr="00B0136A">
              <w:rPr>
                <w:rFonts w:ascii="Arial" w:hAnsi="Arial" w:cs="Arial"/>
                <w:sz w:val="20"/>
                <w:szCs w:val="20"/>
              </w:rPr>
              <w:t>kur:</w:t>
            </w:r>
          </w:p>
          <w:p w14:paraId="53803829"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r w:rsidRPr="00B0136A">
              <w:rPr>
                <w:rFonts w:ascii="Arial" w:hAnsi="Arial" w:cs="Arial"/>
                <w:sz w:val="20"/>
                <w:szCs w:val="20"/>
              </w:rPr>
              <w:t xml:space="preserve"> </w:t>
            </w:r>
          </w:p>
          <w:p w14:paraId="78F75262"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p>
          <w:p w14:paraId="43208378" w14:textId="77777777" w:rsidR="00125D3B" w:rsidRPr="00B0136A" w:rsidRDefault="00125D3B" w:rsidP="00125D3B">
            <w:pPr>
              <w:tabs>
                <w:tab w:val="left" w:pos="0"/>
                <w:tab w:val="left" w:pos="567"/>
              </w:tabs>
              <w:spacing w:before="60" w:after="60"/>
              <w:jc w:val="both"/>
              <w:rPr>
                <w:rFonts w:ascii="Arial" w:hAnsi="Arial" w:cs="Arial"/>
                <w:sz w:val="20"/>
                <w:szCs w:val="20"/>
              </w:rPr>
            </w:pPr>
            <w:r w:rsidRPr="00B0136A">
              <w:rPr>
                <w:rFonts w:ascii="Arial" w:hAnsi="Arial" w:cs="Arial"/>
                <w:sz w:val="20"/>
                <w:szCs w:val="20"/>
              </w:rPr>
              <w:t>k1 - tuščiosios veikos nuostolių kainos apskaičiavimo koeficientas</w:t>
            </w:r>
          </w:p>
          <w:p w14:paraId="516074D3" w14:textId="77777777" w:rsidR="00125D3B" w:rsidRPr="00B0136A" w:rsidRDefault="00125D3B" w:rsidP="00125D3B">
            <w:pPr>
              <w:pStyle w:val="ListParagraph"/>
              <w:tabs>
                <w:tab w:val="left" w:pos="0"/>
                <w:tab w:val="left" w:pos="567"/>
              </w:tabs>
              <w:spacing w:before="60" w:after="60"/>
              <w:ind w:left="0"/>
              <w:jc w:val="both"/>
              <w:rPr>
                <w:rFonts w:ascii="Arial" w:hAnsi="Arial" w:cs="Arial"/>
                <w:sz w:val="20"/>
                <w:szCs w:val="20"/>
              </w:rPr>
            </w:pPr>
            <w:r w:rsidRPr="00B0136A">
              <w:rPr>
                <w:rFonts w:ascii="Arial" w:hAnsi="Arial" w:cs="Arial"/>
                <w:sz w:val="20"/>
                <w:szCs w:val="20"/>
              </w:rPr>
              <w:t>k2 - apkrovos nuostolių kainos apskaičiavimo koeficientas</w:t>
            </w:r>
          </w:p>
          <w:p w14:paraId="7C6EA182" w14:textId="77777777" w:rsidR="00125D3B" w:rsidRPr="00B0136A" w:rsidRDefault="00125D3B" w:rsidP="00125D3B">
            <w:pPr>
              <w:ind w:left="449" w:right="3666"/>
              <w:jc w:val="center"/>
              <w:rPr>
                <w:rFonts w:ascii="Arial" w:hAnsi="Arial" w:cs="Arial"/>
                <w:sz w:val="20"/>
                <w:szCs w:val="20"/>
              </w:rPr>
            </w:pPr>
            <w:r w:rsidRPr="00B0136A">
              <w:rPr>
                <w:rFonts w:ascii="Cambria Math" w:hAnsi="Cambria Math" w:cs="Cambria Math"/>
                <w:sz w:val="20"/>
                <w:szCs w:val="20"/>
              </w:rPr>
              <w:t>𝑘</w:t>
            </w:r>
            <w:r w:rsidRPr="00B0136A">
              <w:rPr>
                <w:rFonts w:ascii="Arial" w:hAnsi="Arial" w:cs="Arial"/>
                <w:sz w:val="20"/>
                <w:szCs w:val="20"/>
              </w:rPr>
              <w:t>1  = 13 466</w:t>
            </w:r>
          </w:p>
          <w:p w14:paraId="3B36F6C8" w14:textId="77777777" w:rsidR="00125D3B" w:rsidRPr="00B0136A" w:rsidRDefault="00125D3B" w:rsidP="00125D3B">
            <w:pPr>
              <w:pStyle w:val="ListParagraph"/>
              <w:tabs>
                <w:tab w:val="left" w:pos="0"/>
                <w:tab w:val="left" w:pos="567"/>
              </w:tabs>
              <w:spacing w:before="60" w:after="60"/>
              <w:ind w:left="0"/>
              <w:jc w:val="both"/>
              <w:rPr>
                <w:rFonts w:ascii="Arial" w:hAnsi="Arial" w:cs="Arial"/>
                <w:sz w:val="20"/>
                <w:szCs w:val="20"/>
              </w:rPr>
            </w:pPr>
            <w:r w:rsidRPr="00B0136A">
              <w:rPr>
                <w:rFonts w:ascii="Arial" w:hAnsi="Arial" w:cs="Arial"/>
                <w:sz w:val="20"/>
                <w:szCs w:val="20"/>
              </w:rPr>
              <w:t>k1 apskaičiavimo formulė:</w:t>
            </w:r>
          </w:p>
          <w:p w14:paraId="46A6288E" w14:textId="77777777" w:rsidR="00125D3B" w:rsidRPr="00B0136A" w:rsidRDefault="00A44845" w:rsidP="00125D3B">
            <w:pPr>
              <w:pStyle w:val="ListParagraph"/>
              <w:tabs>
                <w:tab w:val="left" w:pos="0"/>
                <w:tab w:val="left" w:pos="567"/>
              </w:tabs>
              <w:spacing w:before="60" w:after="60"/>
              <w:ind w:left="0"/>
              <w:jc w:val="both"/>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k</m:t>
                    </m:r>
                  </m:e>
                  <m:sub>
                    <m:r>
                      <m:rPr>
                        <m:sty m:val="p"/>
                      </m:rPr>
                      <w:rPr>
                        <w:rFonts w:ascii="Cambria Math" w:hAnsi="Cambria Math" w:cs="Arial"/>
                        <w:sz w:val="20"/>
                        <w:szCs w:val="20"/>
                      </w:rPr>
                      <m:t>1</m:t>
                    </m:r>
                  </m:sub>
                </m:sSub>
                <m:r>
                  <m:rPr>
                    <m:sty m:val="p"/>
                  </m:rPr>
                  <w:rPr>
                    <w:rFonts w:ascii="Cambria Math" w:hAnsi="Cambria Math" w:cs="Arial"/>
                    <w:sz w:val="20"/>
                    <w:szCs w:val="20"/>
                  </w:rPr>
                  <m:t>=</m:t>
                </m:r>
                <m:r>
                  <w:rPr>
                    <w:rFonts w:ascii="Cambria Math" w:hAnsi="Cambria Math" w:cs="Arial"/>
                    <w:sz w:val="20"/>
                    <w:szCs w:val="20"/>
                  </w:rPr>
                  <m:t>t</m:t>
                </m:r>
                <m:r>
                  <m:rPr>
                    <m:sty m:val="p"/>
                  </m:rPr>
                  <w:rPr>
                    <w:rFonts w:ascii="Cambria Math" w:hAnsi="Cambria Math" w:cs="Arial"/>
                    <w:sz w:val="20"/>
                    <w:szCs w:val="20"/>
                  </w:rPr>
                  <m:t>×</m:t>
                </m:r>
                <m:r>
                  <w:rPr>
                    <w:rFonts w:ascii="Cambria Math" w:hAnsi="Cambria Math" w:cs="Arial"/>
                    <w:sz w:val="20"/>
                    <w:szCs w:val="20"/>
                  </w:rPr>
                  <m:t>C</m:t>
                </m:r>
                <m:r>
                  <m:rPr>
                    <m:sty m:val="p"/>
                  </m:rPr>
                  <w:rPr>
                    <w:rFonts w:ascii="Cambria Math" w:hAnsi="Cambria Math" w:cs="Arial"/>
                    <w:sz w:val="20"/>
                    <w:szCs w:val="20"/>
                  </w:rPr>
                  <m:t>×</m:t>
                </m:r>
                <m:f>
                  <m:fPr>
                    <m:ctrlPr>
                      <w:rPr>
                        <w:rFonts w:ascii="Cambria Math" w:hAnsi="Cambria Math" w:cs="Arial"/>
                        <w:sz w:val="20"/>
                        <w:szCs w:val="20"/>
                      </w:rPr>
                    </m:ctrlPr>
                  </m:fPr>
                  <m:num>
                    <m:sSup>
                      <m:sSupPr>
                        <m:ctrlPr>
                          <w:rPr>
                            <w:rFonts w:ascii="Cambria Math" w:hAnsi="Cambria Math" w:cs="Arial"/>
                            <w:sz w:val="20"/>
                            <w:szCs w:val="20"/>
                          </w:rPr>
                        </m:ctrlPr>
                      </m:sSupPr>
                      <m:e>
                        <m:r>
                          <m:rPr>
                            <m:sty m:val="p"/>
                          </m:rPr>
                          <w:rPr>
                            <w:rFonts w:ascii="Cambria Math" w:hAnsi="Cambria Math" w:cs="Arial"/>
                            <w:sz w:val="20"/>
                            <w:szCs w:val="20"/>
                          </w:rPr>
                          <m:t>(1+</m:t>
                        </m:r>
                        <m:r>
                          <w:rPr>
                            <w:rFonts w:ascii="Cambria Math" w:hAnsi="Cambria Math" w:cs="Arial"/>
                            <w:sz w:val="20"/>
                            <w:szCs w:val="20"/>
                          </w:rPr>
                          <m:t>i</m:t>
                        </m:r>
                        <m:r>
                          <m:rPr>
                            <m:sty m:val="p"/>
                          </m:rPr>
                          <w:rPr>
                            <w:rFonts w:ascii="Cambria Math" w:hAnsi="Cambria Math" w:cs="Arial"/>
                            <w:sz w:val="20"/>
                            <w:szCs w:val="20"/>
                          </w:rPr>
                          <m:t>)</m:t>
                        </m:r>
                      </m:e>
                      <m:sup>
                        <m:r>
                          <w:rPr>
                            <w:rFonts w:ascii="Cambria Math" w:hAnsi="Cambria Math" w:cs="Arial"/>
                            <w:sz w:val="20"/>
                            <w:szCs w:val="20"/>
                          </w:rPr>
                          <m:t>n</m:t>
                        </m:r>
                      </m:sup>
                    </m:sSup>
                    <m:r>
                      <m:rPr>
                        <m:sty m:val="p"/>
                      </m:rPr>
                      <w:rPr>
                        <w:rFonts w:ascii="Cambria Math" w:hAnsi="Cambria Math" w:cs="Arial"/>
                        <w:sz w:val="20"/>
                        <w:szCs w:val="20"/>
                      </w:rPr>
                      <m:t>-1</m:t>
                    </m:r>
                  </m:num>
                  <m:den>
                    <m:r>
                      <w:rPr>
                        <w:rFonts w:ascii="Cambria Math" w:hAnsi="Cambria Math" w:cs="Arial"/>
                        <w:sz w:val="20"/>
                        <w:szCs w:val="20"/>
                      </w:rPr>
                      <m:t>i</m:t>
                    </m:r>
                    <m:r>
                      <m:rPr>
                        <m:sty m:val="p"/>
                      </m:rPr>
                      <w:rPr>
                        <w:rFonts w:ascii="Cambria Math" w:hAnsi="Cambria Math" w:cs="Arial"/>
                        <w:sz w:val="20"/>
                        <w:szCs w:val="20"/>
                      </w:rPr>
                      <m:t>×</m:t>
                    </m:r>
                    <m:sSup>
                      <m:sSupPr>
                        <m:ctrlPr>
                          <w:rPr>
                            <w:rFonts w:ascii="Cambria Math" w:hAnsi="Cambria Math" w:cs="Arial"/>
                            <w:sz w:val="20"/>
                            <w:szCs w:val="20"/>
                          </w:rPr>
                        </m:ctrlPr>
                      </m:sSupPr>
                      <m:e>
                        <m:r>
                          <m:rPr>
                            <m:sty m:val="p"/>
                          </m:rPr>
                          <w:rPr>
                            <w:rFonts w:ascii="Cambria Math" w:hAnsi="Cambria Math" w:cs="Arial"/>
                            <w:sz w:val="20"/>
                            <w:szCs w:val="20"/>
                          </w:rPr>
                          <m:t>(1+</m:t>
                        </m:r>
                        <m:r>
                          <w:rPr>
                            <w:rFonts w:ascii="Cambria Math" w:hAnsi="Cambria Math" w:cs="Arial"/>
                            <w:sz w:val="20"/>
                            <w:szCs w:val="20"/>
                          </w:rPr>
                          <m:t>i</m:t>
                        </m:r>
                        <m:r>
                          <m:rPr>
                            <m:sty m:val="p"/>
                          </m:rPr>
                          <w:rPr>
                            <w:rFonts w:ascii="Cambria Math" w:hAnsi="Cambria Math" w:cs="Arial"/>
                            <w:sz w:val="20"/>
                            <w:szCs w:val="20"/>
                          </w:rPr>
                          <m:t>)</m:t>
                        </m:r>
                      </m:e>
                      <m:sup>
                        <m:r>
                          <w:rPr>
                            <w:rFonts w:ascii="Cambria Math" w:hAnsi="Cambria Math" w:cs="Arial"/>
                            <w:sz w:val="20"/>
                            <w:szCs w:val="20"/>
                          </w:rPr>
                          <m:t>n</m:t>
                        </m:r>
                      </m:sup>
                    </m:sSup>
                  </m:den>
                </m:f>
              </m:oMath>
            </m:oMathPara>
          </w:p>
          <w:p w14:paraId="6F6E9784" w14:textId="77777777" w:rsidR="00125D3B" w:rsidRPr="00B0136A" w:rsidRDefault="00125D3B" w:rsidP="00125D3B">
            <w:pPr>
              <w:pStyle w:val="BodyText"/>
              <w:ind w:left="461"/>
              <w:rPr>
                <w:rFonts w:ascii="Arial" w:hAnsi="Arial" w:cs="Arial"/>
                <w:sz w:val="20"/>
                <w:lang w:val="lt-LT" w:eastAsia="en-US"/>
              </w:rPr>
            </w:pPr>
            <w:r w:rsidRPr="00B0136A">
              <w:rPr>
                <w:rFonts w:ascii="Arial" w:hAnsi="Arial" w:cs="Arial"/>
                <w:sz w:val="20"/>
                <w:lang w:val="lt-LT" w:eastAsia="en-US"/>
              </w:rPr>
              <w:t>kur:</w:t>
            </w:r>
          </w:p>
          <w:p w14:paraId="00B78B2F" w14:textId="77777777" w:rsidR="00125D3B" w:rsidRPr="00B0136A" w:rsidRDefault="00125D3B" w:rsidP="00125D3B">
            <w:pPr>
              <w:pStyle w:val="BodyText"/>
              <w:spacing w:before="1"/>
              <w:ind w:left="461"/>
              <w:rPr>
                <w:rFonts w:ascii="Arial" w:hAnsi="Arial" w:cs="Arial"/>
                <w:sz w:val="20"/>
                <w:lang w:val="lt-LT" w:eastAsia="en-US"/>
              </w:rPr>
            </w:pPr>
            <w:r w:rsidRPr="00B0136A">
              <w:rPr>
                <w:rFonts w:ascii="Arial" w:hAnsi="Arial" w:cs="Arial"/>
                <w:sz w:val="20"/>
                <w:lang w:val="lt-LT" w:eastAsia="en-US"/>
              </w:rPr>
              <w:t>t - transformatoriaus veikimo laikas per metus, valandomis (8760)</w:t>
            </w:r>
          </w:p>
          <w:p w14:paraId="1C6330AA" w14:textId="77777777" w:rsidR="00125D3B" w:rsidRPr="00B0136A" w:rsidRDefault="00125D3B" w:rsidP="00125D3B">
            <w:pPr>
              <w:pStyle w:val="BodyText"/>
              <w:ind w:left="461"/>
              <w:rPr>
                <w:rFonts w:ascii="Arial" w:hAnsi="Arial" w:cs="Arial"/>
                <w:sz w:val="20"/>
                <w:lang w:val="lt-LT" w:eastAsia="en-US"/>
              </w:rPr>
            </w:pPr>
            <w:r w:rsidRPr="00B0136A">
              <w:rPr>
                <w:rFonts w:ascii="Arial" w:hAnsi="Arial" w:cs="Arial"/>
                <w:sz w:val="20"/>
                <w:lang w:val="lt-LT" w:eastAsia="en-US"/>
              </w:rPr>
              <w:t>C – vidutinė praėjusių metų elektros energijos kaina biržoje 1 kWh, Eurais (0,094)</w:t>
            </w:r>
          </w:p>
          <w:p w14:paraId="244EB224" w14:textId="77777777" w:rsidR="00125D3B" w:rsidRPr="00B0136A" w:rsidRDefault="00125D3B" w:rsidP="00125D3B">
            <w:pPr>
              <w:spacing w:before="1" w:line="231" w:lineRule="exact"/>
              <w:ind w:left="461"/>
              <w:jc w:val="both"/>
              <w:rPr>
                <w:rFonts w:ascii="Arial" w:hAnsi="Arial" w:cs="Arial"/>
                <w:sz w:val="20"/>
                <w:szCs w:val="20"/>
              </w:rPr>
            </w:pPr>
            <w:r w:rsidRPr="00B0136A">
              <w:rPr>
                <w:rFonts w:ascii="Arial" w:hAnsi="Arial" w:cs="Arial"/>
                <w:sz w:val="20"/>
                <w:szCs w:val="20"/>
              </w:rPr>
              <w:t>i - diskonto norma, % (0,0501)</w:t>
            </w:r>
          </w:p>
          <w:p w14:paraId="7A14DFE3" w14:textId="77777777" w:rsidR="00125D3B" w:rsidRPr="00B0136A" w:rsidRDefault="00125D3B" w:rsidP="00125D3B">
            <w:pPr>
              <w:pStyle w:val="BodyText"/>
              <w:ind w:left="461" w:right="121"/>
              <w:rPr>
                <w:rFonts w:ascii="Arial" w:hAnsi="Arial" w:cs="Arial"/>
                <w:sz w:val="20"/>
                <w:lang w:val="lt-LT" w:eastAsia="en-US"/>
              </w:rPr>
            </w:pPr>
            <w:r w:rsidRPr="00B0136A">
              <w:rPr>
                <w:rFonts w:ascii="Arial" w:hAnsi="Arial" w:cs="Arial"/>
                <w:sz w:val="20"/>
                <w:lang w:val="lt-LT" w:eastAsia="en-US"/>
              </w:rPr>
              <w:t xml:space="preserve">n – </w:t>
            </w:r>
            <w:proofErr w:type="spellStart"/>
            <w:r w:rsidRPr="00B0136A">
              <w:rPr>
                <w:rFonts w:ascii="Arial" w:hAnsi="Arial" w:cs="Arial"/>
                <w:sz w:val="20"/>
                <w:lang w:val="lt-LT" w:eastAsia="en-US"/>
              </w:rPr>
              <w:t>autotransformatoriaus</w:t>
            </w:r>
            <w:proofErr w:type="spellEnd"/>
            <w:r w:rsidRPr="00B0136A">
              <w:rPr>
                <w:rFonts w:ascii="Arial" w:hAnsi="Arial" w:cs="Arial"/>
                <w:sz w:val="20"/>
                <w:lang w:val="lt-LT" w:eastAsia="en-US"/>
              </w:rPr>
              <w:t xml:space="preserve"> tarnavimo laikas, metais (35). Siekiant lyginti tarpusavyje ir atlikti skaičiavimus prie vienodų sąlygų, k1 koeficiento skaičiavimo formulėje bus naudojamas vienodas, aukščiau nurodytas įrenginio tarnavimo laikas. Tiekėjas gali siūlyti ir didesnį </w:t>
            </w:r>
            <w:proofErr w:type="spellStart"/>
            <w:r w:rsidRPr="00B0136A">
              <w:rPr>
                <w:rFonts w:ascii="Arial" w:hAnsi="Arial" w:cs="Arial"/>
                <w:sz w:val="20"/>
                <w:lang w:val="lt-LT" w:eastAsia="en-US"/>
              </w:rPr>
              <w:t>autotransformatoriaus</w:t>
            </w:r>
            <w:proofErr w:type="spellEnd"/>
            <w:r w:rsidRPr="00B0136A">
              <w:rPr>
                <w:rFonts w:ascii="Arial" w:hAnsi="Arial" w:cs="Arial"/>
                <w:sz w:val="20"/>
                <w:lang w:val="lt-LT" w:eastAsia="en-US"/>
              </w:rPr>
              <w:t xml:space="preserve"> tarnavimo laiką, tačiau bus vertinama reikšmė vis tiek kaip 35 metų. Tiekėjas negali siūlyti mažesnio </w:t>
            </w:r>
            <w:proofErr w:type="spellStart"/>
            <w:r w:rsidRPr="00B0136A">
              <w:rPr>
                <w:rFonts w:ascii="Arial" w:hAnsi="Arial" w:cs="Arial"/>
                <w:sz w:val="20"/>
                <w:lang w:val="lt-LT" w:eastAsia="en-US"/>
              </w:rPr>
              <w:t>autotransformatoriaus</w:t>
            </w:r>
            <w:proofErr w:type="spellEnd"/>
            <w:r w:rsidRPr="00B0136A">
              <w:rPr>
                <w:rFonts w:ascii="Arial" w:hAnsi="Arial" w:cs="Arial"/>
                <w:sz w:val="20"/>
                <w:lang w:val="lt-LT" w:eastAsia="en-US"/>
              </w:rPr>
              <w:t xml:space="preserve"> tarnavimo laiko nei 35 metai.</w:t>
            </w:r>
          </w:p>
          <w:p w14:paraId="0DDDF0A1" w14:textId="77777777" w:rsidR="00125D3B" w:rsidRPr="00B0136A" w:rsidRDefault="00125D3B" w:rsidP="00125D3B">
            <w:pPr>
              <w:pStyle w:val="ListParagraph"/>
              <w:tabs>
                <w:tab w:val="left" w:pos="0"/>
                <w:tab w:val="left" w:pos="567"/>
              </w:tabs>
              <w:spacing w:before="60" w:after="60"/>
              <w:ind w:left="0"/>
              <w:jc w:val="both"/>
              <w:rPr>
                <w:rFonts w:ascii="Arial" w:hAnsi="Arial" w:cs="Arial"/>
                <w:sz w:val="20"/>
                <w:szCs w:val="20"/>
              </w:rPr>
            </w:pPr>
          </w:p>
          <w:p w14:paraId="1665149A" w14:textId="73292ECD" w:rsidR="00125D3B" w:rsidRPr="00B0136A" w:rsidRDefault="00125D3B" w:rsidP="00125D3B">
            <w:pPr>
              <w:spacing w:before="65"/>
              <w:ind w:left="461"/>
              <w:rPr>
                <w:rFonts w:ascii="Arial" w:hAnsi="Arial" w:cs="Arial"/>
                <w:sz w:val="20"/>
                <w:szCs w:val="20"/>
              </w:rPr>
            </w:pPr>
            <w:r w:rsidRPr="00B0136A">
              <w:rPr>
                <w:rFonts w:ascii="Cambria Math" w:hAnsi="Cambria Math" w:cs="Cambria Math"/>
                <w:sz w:val="20"/>
                <w:szCs w:val="20"/>
              </w:rPr>
              <w:t>𝑘</w:t>
            </w:r>
            <w:r w:rsidRPr="00B0136A">
              <w:rPr>
                <w:rFonts w:ascii="Arial" w:hAnsi="Arial" w:cs="Arial"/>
                <w:sz w:val="20"/>
                <w:szCs w:val="20"/>
              </w:rPr>
              <w:t xml:space="preserve">2 = </w:t>
            </w:r>
            <w:r w:rsidR="003F32BC">
              <w:rPr>
                <w:rFonts w:ascii="Arial" w:hAnsi="Arial" w:cs="Arial"/>
                <w:sz w:val="20"/>
                <w:szCs w:val="20"/>
              </w:rPr>
              <w:t>4848</w:t>
            </w:r>
          </w:p>
          <w:p w14:paraId="3ED40FB1" w14:textId="77777777" w:rsidR="00125D3B" w:rsidRPr="00B0136A" w:rsidRDefault="00125D3B" w:rsidP="00125D3B">
            <w:pPr>
              <w:pStyle w:val="ListParagraph"/>
              <w:tabs>
                <w:tab w:val="left" w:pos="0"/>
                <w:tab w:val="left" w:pos="567"/>
              </w:tabs>
              <w:spacing w:before="60" w:after="60"/>
              <w:ind w:left="0"/>
              <w:jc w:val="both"/>
              <w:rPr>
                <w:rFonts w:ascii="Arial" w:hAnsi="Arial" w:cs="Arial"/>
                <w:sz w:val="20"/>
                <w:szCs w:val="20"/>
              </w:rPr>
            </w:pPr>
            <w:r w:rsidRPr="00B0136A">
              <w:rPr>
                <w:rFonts w:ascii="Arial" w:hAnsi="Arial" w:cs="Arial"/>
                <w:sz w:val="20"/>
                <w:szCs w:val="20"/>
              </w:rPr>
              <w:t>k2 apskaičiavimo formulė:</w:t>
            </w:r>
          </w:p>
          <w:p w14:paraId="686AD888" w14:textId="77777777" w:rsidR="00125D3B" w:rsidRPr="00B0136A" w:rsidRDefault="00A44845" w:rsidP="00125D3B">
            <w:pPr>
              <w:pStyle w:val="ListParagraph"/>
              <w:tabs>
                <w:tab w:val="left" w:pos="0"/>
                <w:tab w:val="left" w:pos="567"/>
              </w:tabs>
              <w:spacing w:before="60" w:after="60"/>
              <w:ind w:left="0"/>
              <w:jc w:val="both"/>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k</m:t>
                    </m:r>
                  </m:e>
                  <m:sub>
                    <m:r>
                      <m:rPr>
                        <m:sty m:val="p"/>
                      </m:rPr>
                      <w:rPr>
                        <w:rFonts w:ascii="Cambria Math" w:hAnsi="Cambria Math" w:cs="Arial"/>
                        <w:sz w:val="20"/>
                        <w:szCs w:val="20"/>
                      </w:rPr>
                      <m:t>2</m:t>
                    </m:r>
                  </m:sub>
                </m:sSub>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k</m:t>
                    </m:r>
                  </m:e>
                  <m:sub>
                    <m:r>
                      <m:rPr>
                        <m:sty m:val="p"/>
                      </m:rPr>
                      <w:rPr>
                        <w:rFonts w:ascii="Cambria Math" w:hAnsi="Cambria Math" w:cs="Arial"/>
                        <w:sz w:val="20"/>
                        <w:szCs w:val="20"/>
                      </w:rPr>
                      <m:t>1</m:t>
                    </m:r>
                  </m:sub>
                </m:sSub>
                <m:sSup>
                  <m:sSupPr>
                    <m:ctrlPr>
                      <w:rPr>
                        <w:rFonts w:ascii="Cambria Math" w:hAnsi="Cambria Math" w:cs="Arial"/>
                        <w:sz w:val="20"/>
                        <w:szCs w:val="20"/>
                      </w:rPr>
                    </m:ctrlPr>
                  </m:sSupPr>
                  <m:e>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k</m:t>
                        </m:r>
                      </m:e>
                      <m:sub>
                        <m:r>
                          <w:rPr>
                            <w:rFonts w:ascii="Cambria Math" w:hAnsi="Cambria Math" w:cs="Arial"/>
                            <w:sz w:val="20"/>
                            <w:szCs w:val="20"/>
                          </w:rPr>
                          <m:t>apkt</m:t>
                        </m:r>
                      </m:sub>
                    </m:sSub>
                    <m:r>
                      <m:rPr>
                        <m:sty m:val="p"/>
                      </m:rPr>
                      <w:rPr>
                        <w:rFonts w:ascii="Cambria Math" w:hAnsi="Cambria Math" w:cs="Arial"/>
                        <w:sz w:val="20"/>
                        <w:szCs w:val="20"/>
                      </w:rPr>
                      <m:t>)</m:t>
                    </m:r>
                  </m:e>
                  <m:sup>
                    <m:r>
                      <m:rPr>
                        <m:sty m:val="p"/>
                      </m:rPr>
                      <w:rPr>
                        <w:rFonts w:ascii="Cambria Math" w:hAnsi="Cambria Math" w:cs="Arial"/>
                        <w:sz w:val="20"/>
                        <w:szCs w:val="20"/>
                      </w:rPr>
                      <m:t>2</m:t>
                    </m:r>
                  </m:sup>
                </m:sSup>
              </m:oMath>
            </m:oMathPara>
          </w:p>
          <w:p w14:paraId="6601D470" w14:textId="77777777" w:rsidR="00125D3B" w:rsidRPr="00B0136A" w:rsidRDefault="00125D3B" w:rsidP="00125D3B">
            <w:pPr>
              <w:pStyle w:val="BodyText"/>
              <w:spacing w:before="100"/>
              <w:ind w:left="461"/>
              <w:rPr>
                <w:rFonts w:ascii="Arial" w:hAnsi="Arial" w:cs="Arial"/>
                <w:sz w:val="20"/>
                <w:lang w:val="lt-LT" w:eastAsia="en-US"/>
              </w:rPr>
            </w:pPr>
            <w:r w:rsidRPr="00B0136A">
              <w:rPr>
                <w:rFonts w:ascii="Arial" w:hAnsi="Arial" w:cs="Arial"/>
                <w:sz w:val="20"/>
                <w:lang w:val="lt-LT" w:eastAsia="en-US"/>
              </w:rPr>
              <w:t>kur:</w:t>
            </w:r>
          </w:p>
          <w:p w14:paraId="5F937C43" w14:textId="77777777" w:rsidR="00125D3B" w:rsidRDefault="00125D3B" w:rsidP="00DA5F6D">
            <w:pPr>
              <w:pStyle w:val="BodyText"/>
              <w:ind w:left="461"/>
              <w:rPr>
                <w:rFonts w:ascii="Arial" w:hAnsi="Arial" w:cs="Arial"/>
                <w:sz w:val="20"/>
                <w:lang w:val="lt-LT" w:eastAsia="en-US"/>
              </w:rPr>
            </w:pPr>
            <w:proofErr w:type="spellStart"/>
            <w:r w:rsidRPr="00B0136A">
              <w:rPr>
                <w:rFonts w:ascii="Arial" w:hAnsi="Arial" w:cs="Arial"/>
                <w:sz w:val="20"/>
                <w:lang w:val="lt-LT" w:eastAsia="en-US"/>
              </w:rPr>
              <w:t>kapkr</w:t>
            </w:r>
            <w:proofErr w:type="spellEnd"/>
            <w:r w:rsidRPr="00B0136A">
              <w:rPr>
                <w:rFonts w:ascii="Arial" w:hAnsi="Arial" w:cs="Arial"/>
                <w:sz w:val="20"/>
                <w:lang w:val="lt-LT" w:eastAsia="en-US"/>
              </w:rPr>
              <w:t>. - vidutinis apkrovimas per visą tarnavimo laiką, % (0,6)</w:t>
            </w:r>
          </w:p>
          <w:p w14:paraId="20BD8F17" w14:textId="48B3E89F" w:rsidR="00DA5F6D" w:rsidRPr="00DA5F6D" w:rsidRDefault="00DA5F6D" w:rsidP="00DA5F6D">
            <w:pPr>
              <w:pStyle w:val="BodyText"/>
              <w:ind w:left="461"/>
              <w:rPr>
                <w:rFonts w:ascii="Arial" w:hAnsi="Arial" w:cs="Arial"/>
                <w:sz w:val="20"/>
                <w:lang w:val="lt-LT" w:eastAsia="en-US"/>
              </w:rPr>
            </w:pPr>
          </w:p>
        </w:tc>
        <w:tc>
          <w:tcPr>
            <w:tcW w:w="2089" w:type="dxa"/>
            <w:tcBorders>
              <w:top w:val="single" w:sz="4" w:space="0" w:color="auto"/>
              <w:left w:val="single" w:sz="4" w:space="0" w:color="auto"/>
              <w:bottom w:val="single" w:sz="4" w:space="0" w:color="auto"/>
              <w:right w:val="single" w:sz="4" w:space="0" w:color="auto"/>
            </w:tcBorders>
            <w:vAlign w:val="center"/>
          </w:tcPr>
          <w:p w14:paraId="5A1A57FE" w14:textId="07FFEBA6" w:rsidR="002422E2" w:rsidRDefault="00125D3B" w:rsidP="002422E2">
            <w:pPr>
              <w:pStyle w:val="TableParagraph"/>
              <w:ind w:left="295" w:right="288" w:hanging="2"/>
              <w:rPr>
                <w:rFonts w:ascii="Arial" w:hAnsi="Arial" w:cs="Arial"/>
                <w:sz w:val="20"/>
                <w:szCs w:val="20"/>
              </w:rPr>
            </w:pPr>
            <w:r w:rsidRPr="00EE64C0">
              <w:rPr>
                <w:rFonts w:ascii="Arial" w:hAnsi="Arial" w:cs="Arial"/>
                <w:sz w:val="20"/>
                <w:szCs w:val="20"/>
              </w:rPr>
              <w:lastRenderedPageBreak/>
              <w:t>Pasiūlymo formos 1 pried</w:t>
            </w:r>
            <w:r w:rsidR="009D7A24">
              <w:rPr>
                <w:rFonts w:ascii="Arial" w:hAnsi="Arial" w:cs="Arial"/>
                <w:sz w:val="20"/>
                <w:szCs w:val="20"/>
              </w:rPr>
              <w:t>ė</w:t>
            </w:r>
            <w:r w:rsidRPr="00EE64C0">
              <w:rPr>
                <w:rFonts w:ascii="Arial" w:hAnsi="Arial" w:cs="Arial"/>
                <w:sz w:val="20"/>
                <w:szCs w:val="20"/>
              </w:rPr>
              <w:t>lis - Siūlomi parametrai (pildymo forma) ir tai pagrindžiantys</w:t>
            </w:r>
          </w:p>
          <w:p w14:paraId="291D93C8" w14:textId="05B70A7F" w:rsidR="00125D3B" w:rsidRPr="002422E2" w:rsidRDefault="00125D3B" w:rsidP="002422E2">
            <w:pPr>
              <w:pStyle w:val="TableParagraph"/>
              <w:ind w:left="295" w:right="288" w:hanging="2"/>
              <w:rPr>
                <w:rFonts w:ascii="Arial" w:hAnsi="Arial" w:cs="Arial"/>
                <w:sz w:val="20"/>
                <w:szCs w:val="20"/>
              </w:rPr>
            </w:pPr>
            <w:r w:rsidRPr="002422E2">
              <w:rPr>
                <w:rFonts w:ascii="Arial" w:hAnsi="Arial" w:cs="Arial"/>
                <w:sz w:val="20"/>
                <w:szCs w:val="20"/>
              </w:rPr>
              <w:t>dokumentai</w:t>
            </w:r>
          </w:p>
        </w:tc>
        <w:tc>
          <w:tcPr>
            <w:tcW w:w="5672" w:type="dxa"/>
          </w:tcPr>
          <w:p w14:paraId="3310FF3C" w14:textId="77777777" w:rsidR="00125D3B" w:rsidRPr="00125D3B" w:rsidRDefault="00125D3B" w:rsidP="00B07CE5">
            <w:pPr>
              <w:jc w:val="center"/>
              <w:rPr>
                <w:rFonts w:ascii="Arial" w:hAnsi="Arial" w:cs="Arial"/>
                <w:b/>
                <w:sz w:val="20"/>
                <w:szCs w:val="20"/>
                <w:lang w:val="en-GB"/>
              </w:rPr>
            </w:pPr>
            <w:r w:rsidRPr="00125D3B">
              <w:rPr>
                <w:rFonts w:ascii="Arial" w:hAnsi="Arial" w:cs="Arial"/>
                <w:b/>
                <w:sz w:val="20"/>
                <w:szCs w:val="20"/>
                <w:lang w:val="en-GB"/>
              </w:rPr>
              <w:t>Criterion II – Cost of energy losses calculated over a period of 35 years (P)</w:t>
            </w:r>
          </w:p>
          <w:p w14:paraId="1391484C" w14:textId="77777777" w:rsidR="00125D3B" w:rsidRPr="00125D3B" w:rsidRDefault="00125D3B" w:rsidP="00125D3B">
            <w:pPr>
              <w:jc w:val="both"/>
              <w:rPr>
                <w:rFonts w:ascii="Arial" w:hAnsi="Arial" w:cs="Arial"/>
                <w:b/>
                <w:sz w:val="20"/>
                <w:szCs w:val="20"/>
                <w:lang w:val="en-GB"/>
              </w:rPr>
            </w:pPr>
          </w:p>
          <w:p w14:paraId="33969090" w14:textId="389F8F16" w:rsidR="00125D3B" w:rsidRPr="00125D3B" w:rsidRDefault="00125D3B" w:rsidP="00B07CE5">
            <w:pPr>
              <w:spacing w:before="166" w:line="256" w:lineRule="auto"/>
              <w:ind w:right="120"/>
              <w:jc w:val="both"/>
              <w:rPr>
                <w:rFonts w:ascii="Arial" w:hAnsi="Arial" w:cs="Arial"/>
                <w:sz w:val="20"/>
                <w:szCs w:val="20"/>
                <w:lang w:val="en-GB" w:eastAsia="en-US"/>
              </w:rPr>
            </w:pPr>
            <w:r w:rsidRPr="00125D3B">
              <w:rPr>
                <w:rFonts w:ascii="Arial" w:hAnsi="Arial" w:cs="Arial"/>
                <w:bCs/>
                <w:sz w:val="20"/>
                <w:szCs w:val="20"/>
                <w:lang w:val="en-GB" w:eastAsia="en-US"/>
              </w:rPr>
              <w:t>The cost (P) scores of energy losses calculated for a period of 35 years</w:t>
            </w:r>
            <w:r w:rsidRPr="00125D3B">
              <w:rPr>
                <w:rFonts w:ascii="Arial" w:hAnsi="Arial" w:cs="Arial"/>
                <w:b/>
                <w:sz w:val="20"/>
                <w:szCs w:val="20"/>
                <w:lang w:val="en-GB" w:eastAsia="en-US"/>
              </w:rPr>
              <w:t xml:space="preserve"> </w:t>
            </w:r>
            <w:r w:rsidRPr="00125D3B">
              <w:rPr>
                <w:rFonts w:ascii="Arial" w:hAnsi="Arial" w:cs="Arial"/>
                <w:sz w:val="20"/>
                <w:szCs w:val="20"/>
                <w:lang w:val="en-GB" w:eastAsia="en-US"/>
              </w:rPr>
              <w:t xml:space="preserve">are calculated/ evaluated according to the amounts of losses indicated by the Supplier (Annex 1 to the </w:t>
            </w:r>
            <w:r>
              <w:rPr>
                <w:rFonts w:ascii="Arial" w:hAnsi="Arial" w:cs="Arial"/>
                <w:sz w:val="20"/>
                <w:szCs w:val="20"/>
                <w:lang w:val="en-GB" w:eastAsia="en-US"/>
              </w:rPr>
              <w:t>Tender</w:t>
            </w:r>
            <w:r w:rsidRPr="00125D3B">
              <w:rPr>
                <w:rFonts w:ascii="Arial" w:hAnsi="Arial" w:cs="Arial"/>
                <w:sz w:val="20"/>
                <w:szCs w:val="20"/>
                <w:lang w:val="en-GB" w:eastAsia="en-US"/>
              </w:rPr>
              <w:t xml:space="preserve"> Form - Proposed parameters (form</w:t>
            </w:r>
            <w:r>
              <w:rPr>
                <w:rFonts w:ascii="Arial" w:hAnsi="Arial" w:cs="Arial"/>
                <w:sz w:val="20"/>
                <w:szCs w:val="20"/>
                <w:lang w:val="en-GB" w:eastAsia="en-US"/>
              </w:rPr>
              <w:t xml:space="preserve"> to fill in</w:t>
            </w:r>
            <w:r w:rsidRPr="00125D3B">
              <w:rPr>
                <w:rFonts w:ascii="Arial" w:hAnsi="Arial" w:cs="Arial"/>
                <w:sz w:val="20"/>
                <w:szCs w:val="20"/>
                <w:lang w:val="en-GB" w:eastAsia="en-US"/>
              </w:rPr>
              <w:t>)) for the proposed installation:</w:t>
            </w:r>
          </w:p>
          <w:p w14:paraId="3234A9C6" w14:textId="77777777" w:rsidR="00125D3B" w:rsidRPr="00125D3B" w:rsidRDefault="00125D3B" w:rsidP="00B07CE5">
            <w:pPr>
              <w:widowControl w:val="0"/>
              <w:numPr>
                <w:ilvl w:val="1"/>
                <w:numId w:val="6"/>
              </w:numPr>
              <w:tabs>
                <w:tab w:val="left" w:pos="1182"/>
              </w:tabs>
              <w:autoSpaceDE w:val="0"/>
              <w:autoSpaceDN w:val="0"/>
              <w:spacing w:before="164"/>
              <w:ind w:left="360" w:right="127"/>
              <w:jc w:val="both"/>
              <w:rPr>
                <w:rFonts w:ascii="Arial" w:hAnsi="Arial" w:cs="Arial"/>
                <w:sz w:val="20"/>
                <w:szCs w:val="20"/>
                <w:lang w:val="en-GB" w:eastAsia="en-US"/>
              </w:rPr>
            </w:pPr>
            <w:r w:rsidRPr="00125D3B">
              <w:rPr>
                <w:rFonts w:ascii="Arial" w:hAnsi="Arial" w:cs="Arial"/>
                <w:sz w:val="20"/>
                <w:szCs w:val="20"/>
                <w:lang w:val="en-GB" w:eastAsia="en-US"/>
              </w:rPr>
              <w:t>No-load loss (</w:t>
            </w:r>
            <w:r w:rsidRPr="00125D3B">
              <w:rPr>
                <w:rFonts w:ascii="Arial" w:hAnsi="Arial" w:cs="Arial"/>
                <w:i/>
                <w:sz w:val="20"/>
                <w:szCs w:val="20"/>
                <w:lang w:val="en-GB" w:eastAsia="en-US"/>
              </w:rPr>
              <w:t>Po</w:t>
            </w:r>
            <w:r w:rsidRPr="00125D3B">
              <w:rPr>
                <w:rFonts w:ascii="Arial" w:hAnsi="Arial" w:cs="Arial"/>
                <w:sz w:val="20"/>
                <w:szCs w:val="20"/>
                <w:lang w:val="en-GB" w:eastAsia="en-US"/>
              </w:rPr>
              <w:t xml:space="preserve">), kW - the value of the guaranteed losses of the idle act indicated by the Provider and approved by the manufacturer, i.e., the losses of the idle </w:t>
            </w:r>
            <w:r w:rsidRPr="00125D3B">
              <w:rPr>
                <w:rFonts w:ascii="Arial" w:hAnsi="Arial" w:cs="Arial"/>
                <w:sz w:val="20"/>
                <w:szCs w:val="20"/>
                <w:lang w:val="en-GB" w:eastAsia="en-US"/>
              </w:rPr>
              <w:lastRenderedPageBreak/>
              <w:t>act, measured at the rated voltage and the nominal frequency, on the nominal branch;</w:t>
            </w:r>
          </w:p>
          <w:p w14:paraId="2961D305" w14:textId="77777777" w:rsidR="00125D3B" w:rsidRPr="00125D3B" w:rsidRDefault="00125D3B" w:rsidP="00B07CE5">
            <w:pPr>
              <w:widowControl w:val="0"/>
              <w:numPr>
                <w:ilvl w:val="1"/>
                <w:numId w:val="6"/>
              </w:numPr>
              <w:tabs>
                <w:tab w:val="left" w:pos="1182"/>
              </w:tabs>
              <w:autoSpaceDE w:val="0"/>
              <w:autoSpaceDN w:val="0"/>
              <w:ind w:left="360" w:right="122"/>
              <w:jc w:val="both"/>
              <w:rPr>
                <w:rFonts w:ascii="Arial" w:hAnsi="Arial" w:cs="Arial"/>
                <w:sz w:val="20"/>
                <w:szCs w:val="20"/>
                <w:lang w:val="en-GB" w:eastAsia="en-US"/>
              </w:rPr>
            </w:pPr>
            <w:r w:rsidRPr="00125D3B">
              <w:rPr>
                <w:rFonts w:ascii="Arial" w:hAnsi="Arial" w:cs="Arial"/>
                <w:sz w:val="20"/>
                <w:szCs w:val="20"/>
                <w:lang w:val="en-GB" w:eastAsia="en-US"/>
              </w:rPr>
              <w:t>load loss (</w:t>
            </w:r>
            <w:r w:rsidRPr="00125D3B">
              <w:rPr>
                <w:rFonts w:ascii="Arial" w:hAnsi="Arial" w:cs="Arial"/>
                <w:i/>
                <w:sz w:val="20"/>
                <w:szCs w:val="20"/>
                <w:lang w:val="en-GB" w:eastAsia="en-US"/>
              </w:rPr>
              <w:t>Pk</w:t>
            </w:r>
            <w:r w:rsidRPr="00125D3B">
              <w:rPr>
                <w:rFonts w:ascii="Arial" w:hAnsi="Arial" w:cs="Arial"/>
                <w:sz w:val="20"/>
                <w:szCs w:val="20"/>
                <w:lang w:val="en-GB" w:eastAsia="en-US"/>
              </w:rPr>
              <w:t>), kW - the value of the guaranteed load loss specified by the Provider and approved by the manufacturer, i.e. the estimated losses of the rated current and the rated frequency load (</w:t>
            </w:r>
            <w:r w:rsidRPr="00125D3B">
              <w:rPr>
                <w:rFonts w:ascii="Arial" w:hAnsi="Arial" w:cs="Arial"/>
                <w:i/>
                <w:sz w:val="20"/>
                <w:szCs w:val="20"/>
                <w:lang w:val="en-GB" w:eastAsia="en-US"/>
              </w:rPr>
              <w:t>Sr</w:t>
            </w:r>
            <w:r w:rsidRPr="00125D3B">
              <w:rPr>
                <w:rFonts w:ascii="Arial" w:hAnsi="Arial" w:cs="Arial"/>
                <w:sz w:val="20"/>
                <w:szCs w:val="20"/>
                <w:lang w:val="en-GB" w:eastAsia="en-US"/>
              </w:rPr>
              <w:t>) on the rated branch;</w:t>
            </w:r>
          </w:p>
          <w:p w14:paraId="28E9223C" w14:textId="77777777" w:rsidR="00125D3B" w:rsidRPr="00125D3B" w:rsidRDefault="00125D3B" w:rsidP="00B07CE5">
            <w:pPr>
              <w:widowControl w:val="0"/>
              <w:numPr>
                <w:ilvl w:val="1"/>
                <w:numId w:val="6"/>
              </w:numPr>
              <w:tabs>
                <w:tab w:val="left" w:pos="1182"/>
              </w:tabs>
              <w:autoSpaceDE w:val="0"/>
              <w:autoSpaceDN w:val="0"/>
              <w:spacing w:before="2"/>
              <w:ind w:left="360" w:right="127"/>
              <w:jc w:val="both"/>
              <w:rPr>
                <w:rFonts w:ascii="Arial" w:hAnsi="Arial" w:cs="Arial"/>
                <w:sz w:val="20"/>
                <w:szCs w:val="20"/>
                <w:lang w:val="en-GB" w:eastAsia="en-US"/>
              </w:rPr>
            </w:pPr>
            <w:r w:rsidRPr="00125D3B">
              <w:rPr>
                <w:rFonts w:ascii="Arial" w:hAnsi="Arial" w:cs="Arial"/>
                <w:sz w:val="20"/>
                <w:szCs w:val="20"/>
                <w:lang w:val="en-GB" w:eastAsia="en-US"/>
              </w:rPr>
              <w:t>minimum cooling system losses (</w:t>
            </w:r>
            <w:r w:rsidRPr="00125D3B">
              <w:rPr>
                <w:rFonts w:ascii="Arial" w:hAnsi="Arial" w:cs="Arial"/>
                <w:i/>
                <w:sz w:val="20"/>
                <w:szCs w:val="20"/>
                <w:lang w:val="en-GB" w:eastAsia="en-US"/>
              </w:rPr>
              <w:t>Pc0</w:t>
            </w:r>
            <w:r w:rsidRPr="00125D3B">
              <w:rPr>
                <w:rFonts w:ascii="Arial" w:hAnsi="Arial" w:cs="Arial"/>
                <w:sz w:val="20"/>
                <w:szCs w:val="20"/>
                <w:lang w:val="en-GB" w:eastAsia="en-US"/>
              </w:rPr>
              <w:t>), kW - the value of the guaranteed cooling system losses specified by the Provider and approved by the manufacturer, i.e. the electricity required for the cooling system in the event of a blank operation;</w:t>
            </w:r>
          </w:p>
          <w:p w14:paraId="12D33336" w14:textId="77777777" w:rsidR="00125D3B" w:rsidRPr="00125D3B" w:rsidRDefault="00125D3B" w:rsidP="00B07CE5">
            <w:pPr>
              <w:widowControl w:val="0"/>
              <w:numPr>
                <w:ilvl w:val="1"/>
                <w:numId w:val="6"/>
              </w:numPr>
              <w:tabs>
                <w:tab w:val="left" w:pos="1182"/>
              </w:tabs>
              <w:autoSpaceDE w:val="0"/>
              <w:autoSpaceDN w:val="0"/>
              <w:ind w:left="360" w:right="124"/>
              <w:jc w:val="both"/>
              <w:rPr>
                <w:rFonts w:ascii="Arial" w:hAnsi="Arial" w:cs="Arial"/>
                <w:sz w:val="20"/>
                <w:szCs w:val="20"/>
                <w:lang w:val="en-GB" w:eastAsia="en-US"/>
              </w:rPr>
            </w:pPr>
            <w:r w:rsidRPr="00125D3B">
              <w:rPr>
                <w:rFonts w:ascii="Arial" w:hAnsi="Arial" w:cs="Arial"/>
                <w:sz w:val="20"/>
                <w:szCs w:val="20"/>
                <w:lang w:val="en-GB" w:eastAsia="en-US"/>
              </w:rPr>
              <w:t>cooling system losses (</w:t>
            </w:r>
            <w:r w:rsidRPr="00125D3B">
              <w:rPr>
                <w:rFonts w:ascii="Arial" w:hAnsi="Arial" w:cs="Arial"/>
                <w:i/>
                <w:sz w:val="20"/>
                <w:szCs w:val="20"/>
                <w:lang w:val="en-GB" w:eastAsia="en-US"/>
              </w:rPr>
              <w:t>Pcs</w:t>
            </w:r>
            <w:r w:rsidRPr="00125D3B">
              <w:rPr>
                <w:rFonts w:ascii="Arial" w:hAnsi="Arial" w:cs="Arial"/>
                <w:sz w:val="20"/>
                <w:szCs w:val="20"/>
                <w:lang w:val="en-GB" w:eastAsia="en-US"/>
              </w:rPr>
              <w:t>), kW - the value of the guaranteed cooling system losses indicated by the Supplier and approved by the manufacturer, i.e. the electricity required for the cooling system to operate the transformer at the rated load (</w:t>
            </w:r>
            <w:r w:rsidRPr="00125D3B">
              <w:rPr>
                <w:rFonts w:ascii="Arial" w:hAnsi="Arial" w:cs="Arial"/>
                <w:i/>
                <w:sz w:val="20"/>
                <w:szCs w:val="20"/>
                <w:lang w:val="en-GB" w:eastAsia="en-US"/>
              </w:rPr>
              <w:t>Sr</w:t>
            </w:r>
            <w:r w:rsidRPr="00125D3B">
              <w:rPr>
                <w:rFonts w:ascii="Arial" w:hAnsi="Arial" w:cs="Arial"/>
                <w:sz w:val="20"/>
                <w:szCs w:val="20"/>
                <w:lang w:val="en-GB" w:eastAsia="en-US"/>
              </w:rPr>
              <w:t>);</w:t>
            </w:r>
          </w:p>
          <w:p w14:paraId="4B60692C" w14:textId="77777777" w:rsidR="00125D3B" w:rsidRPr="00125D3B" w:rsidRDefault="00125D3B" w:rsidP="00B07CE5">
            <w:pPr>
              <w:widowControl w:val="0"/>
              <w:numPr>
                <w:ilvl w:val="1"/>
                <w:numId w:val="6"/>
              </w:numPr>
              <w:tabs>
                <w:tab w:val="left" w:pos="1182"/>
              </w:tabs>
              <w:autoSpaceDE w:val="0"/>
              <w:autoSpaceDN w:val="0"/>
              <w:spacing w:line="232" w:lineRule="exact"/>
              <w:ind w:left="361" w:hanging="361"/>
              <w:jc w:val="both"/>
              <w:rPr>
                <w:rFonts w:ascii="Arial" w:hAnsi="Arial" w:cs="Arial"/>
                <w:sz w:val="20"/>
                <w:szCs w:val="20"/>
                <w:lang w:val="en-GB" w:eastAsia="en-US"/>
              </w:rPr>
            </w:pPr>
            <w:r w:rsidRPr="00125D3B">
              <w:rPr>
                <w:rFonts w:ascii="Arial" w:hAnsi="Arial" w:cs="Arial"/>
                <w:sz w:val="20"/>
                <w:szCs w:val="20"/>
                <w:lang w:val="en-GB" w:eastAsia="en-US"/>
              </w:rPr>
              <w:t>minimum value of the maximum efficiency index (PEI), % - Pei value calculated by the provider according to</w:t>
            </w:r>
          </w:p>
          <w:p w14:paraId="4CAF8C8F" w14:textId="77777777" w:rsidR="00125D3B" w:rsidRPr="00125D3B" w:rsidRDefault="00125D3B" w:rsidP="00B07CE5">
            <w:pPr>
              <w:widowControl w:val="0"/>
              <w:autoSpaceDE w:val="0"/>
              <w:autoSpaceDN w:val="0"/>
              <w:ind w:left="360"/>
              <w:jc w:val="both"/>
              <w:rPr>
                <w:rFonts w:ascii="Arial" w:eastAsia="Trebuchet MS" w:hAnsi="Arial" w:cs="Arial"/>
                <w:sz w:val="20"/>
                <w:szCs w:val="20"/>
                <w:lang w:val="en-GB"/>
              </w:rPr>
            </w:pPr>
            <w:r w:rsidRPr="00125D3B">
              <w:rPr>
                <w:rFonts w:ascii="Arial" w:eastAsia="Trebuchet MS" w:hAnsi="Arial" w:cs="Arial"/>
                <w:sz w:val="20"/>
                <w:szCs w:val="20"/>
                <w:lang w:val="en-GB"/>
              </w:rPr>
              <w:t>the guidance of Commission Regulation (EU) 2019/1783;</w:t>
            </w:r>
          </w:p>
          <w:p w14:paraId="05B0200C" w14:textId="77777777" w:rsidR="00125D3B" w:rsidRPr="00125D3B" w:rsidRDefault="00125D3B" w:rsidP="00B07CE5">
            <w:pPr>
              <w:widowControl w:val="0"/>
              <w:numPr>
                <w:ilvl w:val="1"/>
                <w:numId w:val="6"/>
              </w:numPr>
              <w:tabs>
                <w:tab w:val="left" w:pos="1182"/>
              </w:tabs>
              <w:autoSpaceDE w:val="0"/>
              <w:autoSpaceDN w:val="0"/>
              <w:ind w:left="360" w:right="123"/>
              <w:jc w:val="both"/>
              <w:rPr>
                <w:rFonts w:ascii="Arial" w:hAnsi="Arial" w:cs="Arial"/>
                <w:sz w:val="20"/>
                <w:szCs w:val="20"/>
                <w:lang w:val="en-GB" w:eastAsia="en-US"/>
              </w:rPr>
            </w:pPr>
            <w:r w:rsidRPr="00125D3B">
              <w:rPr>
                <w:rFonts w:ascii="Arial" w:hAnsi="Arial" w:cs="Arial"/>
                <w:i/>
                <w:sz w:val="20"/>
                <w:szCs w:val="20"/>
                <w:lang w:val="en-GB" w:eastAsia="en-US"/>
              </w:rPr>
              <w:t xml:space="preserve">n </w:t>
            </w:r>
            <w:r w:rsidRPr="00125D3B">
              <w:rPr>
                <w:rFonts w:ascii="Arial" w:hAnsi="Arial" w:cs="Arial"/>
                <w:sz w:val="20"/>
                <w:szCs w:val="20"/>
                <w:lang w:val="en-GB" w:eastAsia="en-US"/>
              </w:rPr>
              <w:t xml:space="preserve">is the design life of the autotransformer as determined by the manufacturer, in years. The size (n) indicated by the participant will be taken into account in the case of a uniform assessment of the proposed equipment in terms of cost-effectiveness, i.e. the longer the specified service life of the unit, the better the assessment at the same number of points scored (see additional explanations to the </w:t>
            </w:r>
            <w:r w:rsidRPr="00125D3B">
              <w:rPr>
                <w:rFonts w:ascii="Arial" w:hAnsi="Arial" w:cs="Arial"/>
                <w:i/>
                <w:sz w:val="20"/>
                <w:szCs w:val="20"/>
                <w:lang w:val="en-GB" w:eastAsia="en-US"/>
              </w:rPr>
              <w:t>formula for calculating the</w:t>
            </w:r>
            <w:r w:rsidRPr="00125D3B">
              <w:rPr>
                <w:rFonts w:ascii="Arial" w:hAnsi="Arial" w:cs="Arial"/>
                <w:sz w:val="20"/>
                <w:szCs w:val="20"/>
                <w:lang w:val="en-GB" w:eastAsia="en-US"/>
              </w:rPr>
              <w:t xml:space="preserve"> k1  coefficient).</w:t>
            </w:r>
          </w:p>
          <w:p w14:paraId="50CA1485" w14:textId="77777777" w:rsidR="00125D3B" w:rsidRPr="00125D3B" w:rsidRDefault="00125D3B" w:rsidP="00B07CE5">
            <w:pPr>
              <w:widowControl w:val="0"/>
              <w:autoSpaceDE w:val="0"/>
              <w:autoSpaceDN w:val="0"/>
              <w:ind w:right="121"/>
              <w:jc w:val="both"/>
              <w:rPr>
                <w:rFonts w:ascii="Arial" w:eastAsia="Trebuchet MS" w:hAnsi="Arial" w:cs="Arial"/>
                <w:sz w:val="20"/>
                <w:szCs w:val="20"/>
                <w:lang w:val="en-GB"/>
              </w:rPr>
            </w:pPr>
            <w:r w:rsidRPr="00125D3B">
              <w:rPr>
                <w:rFonts w:ascii="Arial" w:eastAsia="Trebuchet MS" w:hAnsi="Arial" w:cs="Arial"/>
                <w:sz w:val="20"/>
                <w:szCs w:val="20"/>
                <w:lang w:val="en-GB"/>
              </w:rPr>
              <w:t xml:space="preserve">Taking into account the Order no. 1-154 of the Minister of Energy of the Republic of Lithuania of 18 June 2015 "On the approval of the list of goods, except for road vehicles, which are subject to energy efficiency requirements during public procurement and performance by contracting entities" (2017 of the Minister of Energy of the Republic of Lithuania in 2017).  18 July  order No.  Versions 1-186) and Commission Regulation (EU) 2019/1783 (1 October 2019) and amending 21 May 2014. Regulation (EU) No 548/2014 on the implementation of Directive 2009/125/EC of the European Parliament and of the Council as regards low, medium and high power transformers, the minimum value of the maximum efficiency index (PEI) of the proposed transformer shall not be less than </w:t>
            </w:r>
            <w:r w:rsidRPr="00125D3B">
              <w:rPr>
                <w:rFonts w:ascii="Arial" w:eastAsia="Trebuchet MS" w:hAnsi="Arial" w:cs="Arial"/>
                <w:b/>
                <w:sz w:val="20"/>
                <w:szCs w:val="20"/>
                <w:lang w:val="en-GB"/>
              </w:rPr>
              <w:t xml:space="preserve">99,797% </w:t>
            </w:r>
            <w:r w:rsidRPr="00125D3B">
              <w:rPr>
                <w:rFonts w:ascii="Arial" w:eastAsia="Trebuchet MS" w:hAnsi="Arial" w:cs="Arial"/>
                <w:sz w:val="20"/>
                <w:szCs w:val="20"/>
                <w:lang w:val="en-GB"/>
              </w:rPr>
              <w:t xml:space="preserve">(see Commission Regulation (EU) 2019/1783 of 21 October 2019 on the provisions of Directive </w:t>
            </w:r>
            <w:r w:rsidRPr="00125D3B">
              <w:rPr>
                <w:rFonts w:ascii="Arial" w:eastAsia="Trebuchet MS" w:hAnsi="Arial" w:cs="Arial"/>
                <w:sz w:val="20"/>
                <w:szCs w:val="20"/>
                <w:lang w:val="en-GB"/>
              </w:rPr>
              <w:lastRenderedPageBreak/>
              <w:t>2009/125/EC of the European Parliament and of the Council relating to low levels,  medium and high power transformers).</w:t>
            </w:r>
          </w:p>
          <w:p w14:paraId="738219F0" w14:textId="77777777" w:rsidR="00125D3B" w:rsidRPr="00125D3B" w:rsidRDefault="00125D3B" w:rsidP="00B07CE5">
            <w:pPr>
              <w:widowControl w:val="0"/>
              <w:autoSpaceDE w:val="0"/>
              <w:autoSpaceDN w:val="0"/>
              <w:spacing w:before="2"/>
              <w:jc w:val="both"/>
              <w:rPr>
                <w:rFonts w:ascii="Arial" w:eastAsia="Trebuchet MS" w:hAnsi="Arial" w:cs="Arial"/>
                <w:sz w:val="20"/>
                <w:szCs w:val="20"/>
                <w:lang w:val="en-GB"/>
              </w:rPr>
            </w:pPr>
            <w:r w:rsidRPr="00125D3B">
              <w:rPr>
                <w:rFonts w:ascii="Arial" w:eastAsia="Trebuchet MS" w:hAnsi="Arial" w:cs="Arial"/>
                <w:sz w:val="20"/>
                <w:szCs w:val="20"/>
                <w:lang w:val="en-GB"/>
              </w:rPr>
              <w:t xml:space="preserve">Formula for calculating the maximum efficiency index </w:t>
            </w:r>
            <w:r w:rsidRPr="00125D3B">
              <w:rPr>
                <w:rFonts w:ascii="Arial" w:eastAsia="Trebuchet MS" w:hAnsi="Arial" w:cs="Arial"/>
                <w:i/>
                <w:sz w:val="20"/>
                <w:szCs w:val="20"/>
                <w:lang w:val="en-GB"/>
              </w:rPr>
              <w:t xml:space="preserve">(PEI) </w:t>
            </w:r>
            <w:r w:rsidRPr="00125D3B">
              <w:rPr>
                <w:rFonts w:ascii="Arial" w:eastAsia="Trebuchet MS" w:hAnsi="Arial" w:cs="Arial"/>
                <w:sz w:val="20"/>
                <w:szCs w:val="20"/>
                <w:lang w:val="en-GB"/>
              </w:rPr>
              <w:t>in accordance with the provisions of Commission Regulation (EU) 2019/1783</w:t>
            </w:r>
          </w:p>
          <w:p w14:paraId="612A1468" w14:textId="77777777" w:rsidR="00125D3B" w:rsidRPr="00125D3B" w:rsidRDefault="00125D3B" w:rsidP="00B07CE5">
            <w:pPr>
              <w:widowControl w:val="0"/>
              <w:autoSpaceDE w:val="0"/>
              <w:autoSpaceDN w:val="0"/>
              <w:jc w:val="both"/>
              <w:rPr>
                <w:rFonts w:ascii="Arial" w:eastAsia="Trebuchet MS" w:hAnsi="Arial" w:cs="Arial"/>
                <w:sz w:val="20"/>
                <w:szCs w:val="20"/>
                <w:lang w:val="en-GB"/>
              </w:rPr>
            </w:pPr>
            <w:r w:rsidRPr="00125D3B">
              <w:rPr>
                <w:rFonts w:ascii="Arial" w:eastAsia="Trebuchet MS" w:hAnsi="Arial" w:cs="Arial"/>
                <w:sz w:val="20"/>
                <w:szCs w:val="20"/>
                <w:lang w:val="en-GB"/>
              </w:rPr>
              <w:t>in The Second Annex:</w:t>
            </w:r>
          </w:p>
          <w:p w14:paraId="265DBC50" w14:textId="77777777" w:rsidR="00125D3B" w:rsidRPr="00125D3B" w:rsidRDefault="00125D3B" w:rsidP="00125D3B">
            <w:pPr>
              <w:tabs>
                <w:tab w:val="left" w:pos="0"/>
                <w:tab w:val="left" w:pos="567"/>
              </w:tabs>
              <w:spacing w:before="60" w:after="60"/>
              <w:contextualSpacing/>
              <w:jc w:val="both"/>
              <w:rPr>
                <w:rFonts w:ascii="Arial" w:hAnsi="Arial" w:cs="Arial"/>
                <w:sz w:val="20"/>
                <w:szCs w:val="20"/>
                <w:lang w:val="en-GB" w:eastAsia="en-US"/>
              </w:rPr>
            </w:pPr>
          </w:p>
          <w:p w14:paraId="750E1D6E" w14:textId="77777777" w:rsidR="00125D3B" w:rsidRPr="00125D3B" w:rsidRDefault="00125D3B" w:rsidP="00125D3B">
            <w:pPr>
              <w:tabs>
                <w:tab w:val="left" w:pos="0"/>
                <w:tab w:val="left" w:pos="567"/>
              </w:tabs>
              <w:spacing w:before="60" w:after="60"/>
              <w:contextualSpacing/>
              <w:jc w:val="both"/>
              <w:rPr>
                <w:rFonts w:ascii="Arial" w:hAnsi="Arial" w:cs="Arial"/>
                <w:sz w:val="20"/>
                <w:szCs w:val="20"/>
                <w:lang w:val="en-GB" w:eastAsia="en-US"/>
              </w:rPr>
            </w:pPr>
            <m:oMathPara>
              <m:oMath>
                <m:r>
                  <w:rPr>
                    <w:rFonts w:ascii="Cambria Math" w:hAnsi="Cambria Math" w:cs="Arial"/>
                    <w:sz w:val="20"/>
                    <w:szCs w:val="20"/>
                    <w:lang w:val="en-GB" w:eastAsia="en-US"/>
                  </w:rPr>
                  <m:t>PEI=1-</m:t>
                </m:r>
                <m:f>
                  <m:fPr>
                    <m:ctrlPr>
                      <w:rPr>
                        <w:rFonts w:ascii="Cambria Math" w:hAnsi="Cambria Math" w:cs="Arial"/>
                        <w:i/>
                        <w:sz w:val="20"/>
                        <w:szCs w:val="20"/>
                        <w:lang w:val="en-GB" w:eastAsia="en-US"/>
                      </w:rPr>
                    </m:ctrlPr>
                  </m:fPr>
                  <m:num>
                    <m:r>
                      <w:rPr>
                        <w:rFonts w:ascii="Cambria Math" w:hAnsi="Cambria Math" w:cs="Arial"/>
                        <w:sz w:val="20"/>
                        <w:szCs w:val="20"/>
                        <w:lang w:val="en-GB" w:eastAsia="en-US"/>
                      </w:rPr>
                      <m:t>2</m:t>
                    </m:r>
                  </m:num>
                  <m:den>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S</m:t>
                        </m:r>
                      </m:e>
                      <m:sub>
                        <m:r>
                          <w:rPr>
                            <w:rFonts w:ascii="Cambria Math" w:hAnsi="Cambria Math" w:cs="Arial"/>
                            <w:sz w:val="20"/>
                            <w:szCs w:val="20"/>
                            <w:lang w:val="en-GB" w:eastAsia="en-US"/>
                          </w:rPr>
                          <m:t>r</m:t>
                        </m:r>
                      </m:sub>
                    </m:sSub>
                  </m:den>
                </m:f>
                <m:r>
                  <w:rPr>
                    <w:rFonts w:ascii="Cambria Math" w:hAnsi="Cambria Math" w:cs="Arial"/>
                    <w:sz w:val="20"/>
                    <w:szCs w:val="20"/>
                    <w:lang w:val="en-GB" w:eastAsia="en-US"/>
                  </w:rPr>
                  <m:t>×</m:t>
                </m:r>
                <m:rad>
                  <m:radPr>
                    <m:degHide m:val="1"/>
                    <m:ctrlPr>
                      <w:rPr>
                        <w:rFonts w:ascii="Cambria Math" w:hAnsi="Cambria Math" w:cs="Arial"/>
                        <w:i/>
                        <w:sz w:val="20"/>
                        <w:szCs w:val="20"/>
                        <w:lang w:val="en-GB" w:eastAsia="en-US"/>
                      </w:rPr>
                    </m:ctrlPr>
                  </m:radPr>
                  <m:deg/>
                  <m:e>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0</m:t>
                        </m:r>
                      </m:sub>
                    </m:sSub>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c0</m:t>
                        </m:r>
                      </m:sub>
                    </m:sSub>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ck</m:t>
                        </m:r>
                      </m:sub>
                    </m:sSub>
                    <m:d>
                      <m:dPr>
                        <m:ctrlPr>
                          <w:rPr>
                            <w:rFonts w:ascii="Cambria Math" w:hAnsi="Cambria Math" w:cs="Arial"/>
                            <w:i/>
                            <w:sz w:val="20"/>
                            <w:szCs w:val="20"/>
                            <w:lang w:val="en-GB" w:eastAsia="en-US"/>
                          </w:rPr>
                        </m:ctrlPr>
                      </m:dPr>
                      <m:e>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k</m:t>
                            </m:r>
                          </m:e>
                          <m:sub>
                            <m:r>
                              <w:rPr>
                                <w:rFonts w:ascii="Cambria Math" w:hAnsi="Cambria Math" w:cs="Arial"/>
                                <w:sz w:val="20"/>
                                <w:szCs w:val="20"/>
                                <w:lang w:val="en-GB" w:eastAsia="en-US"/>
                              </w:rPr>
                              <m:t>PEI</m:t>
                            </m:r>
                          </m:sub>
                        </m:sSub>
                      </m:e>
                    </m:d>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k</m:t>
                        </m:r>
                      </m:sub>
                    </m:sSub>
                  </m:e>
                </m:rad>
              </m:oMath>
            </m:oMathPara>
          </w:p>
          <w:p w14:paraId="398BF308" w14:textId="77777777" w:rsidR="00125D3B" w:rsidRPr="00125D3B" w:rsidRDefault="00125D3B" w:rsidP="00125D3B">
            <w:pPr>
              <w:tabs>
                <w:tab w:val="left" w:pos="0"/>
                <w:tab w:val="left" w:pos="567"/>
              </w:tabs>
              <w:spacing w:before="60" w:after="60"/>
              <w:contextualSpacing/>
              <w:jc w:val="both"/>
              <w:rPr>
                <w:rFonts w:ascii="Arial" w:hAnsi="Arial" w:cs="Arial"/>
                <w:sz w:val="20"/>
                <w:szCs w:val="20"/>
                <w:lang w:val="en-GB" w:eastAsia="en-US"/>
              </w:rPr>
            </w:pPr>
          </w:p>
          <w:p w14:paraId="48F74D4D" w14:textId="77777777"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p>
          <w:p w14:paraId="525D632E" w14:textId="77777777"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r w:rsidRPr="00125D3B">
              <w:rPr>
                <w:rFonts w:ascii="Arial" w:hAnsi="Arial" w:cs="Arial"/>
                <w:sz w:val="20"/>
                <w:szCs w:val="20"/>
                <w:lang w:val="en-GB" w:eastAsia="en-US"/>
              </w:rPr>
              <w:t>where:</w:t>
            </w:r>
          </w:p>
          <w:p w14:paraId="63B2BE3D" w14:textId="77777777"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r w:rsidRPr="00125D3B">
              <w:rPr>
                <w:rFonts w:ascii="Arial" w:hAnsi="Arial" w:cs="Arial"/>
                <w:sz w:val="20"/>
                <w:szCs w:val="20"/>
                <w:lang w:val="en-GB" w:eastAsia="en-US"/>
              </w:rPr>
              <w:t xml:space="preserve"> </w:t>
            </w:r>
          </w:p>
          <w:p w14:paraId="5B3924E4" w14:textId="77777777"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r w:rsidRPr="00125D3B">
              <w:rPr>
                <w:rFonts w:ascii="Arial" w:hAnsi="Arial" w:cs="Arial"/>
                <w:sz w:val="20"/>
                <w:szCs w:val="20"/>
                <w:lang w:val="en-GB" w:eastAsia="en-US"/>
              </w:rPr>
              <w:t xml:space="preserve"> </w:t>
            </w:r>
          </w:p>
          <w:p w14:paraId="3A492CE6" w14:textId="77777777" w:rsidR="00125D3B" w:rsidRPr="00125D3B" w:rsidRDefault="00125D3B" w:rsidP="00B07CE5">
            <w:pPr>
              <w:tabs>
                <w:tab w:val="left" w:pos="0"/>
                <w:tab w:val="left" w:pos="567"/>
              </w:tabs>
              <w:spacing w:before="60" w:after="60"/>
              <w:ind w:left="567"/>
              <w:contextualSpacing/>
              <w:jc w:val="both"/>
              <w:rPr>
                <w:rFonts w:ascii="Arial" w:hAnsi="Arial" w:cs="Arial"/>
                <w:sz w:val="20"/>
                <w:szCs w:val="20"/>
                <w:lang w:val="en-GB" w:eastAsia="en-US"/>
              </w:rPr>
            </w:pPr>
            <w:r w:rsidRPr="00125D3B">
              <w:rPr>
                <w:rFonts w:ascii="Arial" w:hAnsi="Arial" w:cs="Arial"/>
                <w:sz w:val="20"/>
                <w:szCs w:val="20"/>
                <w:lang w:val="en-GB" w:eastAsia="en-US"/>
              </w:rPr>
              <w:t>P0 - is the loss of the idle act, measured at the rated voltage and nominal frequency, in the nominal branch, kW;</w:t>
            </w:r>
          </w:p>
          <w:p w14:paraId="244C46E1" w14:textId="77777777" w:rsidR="00125D3B" w:rsidRPr="00125D3B" w:rsidRDefault="00125D3B" w:rsidP="00B07CE5">
            <w:pPr>
              <w:tabs>
                <w:tab w:val="left" w:pos="0"/>
                <w:tab w:val="left" w:pos="567"/>
              </w:tabs>
              <w:spacing w:before="60" w:after="60"/>
              <w:ind w:left="567"/>
              <w:contextualSpacing/>
              <w:jc w:val="both"/>
              <w:rPr>
                <w:rFonts w:ascii="Arial" w:hAnsi="Arial" w:cs="Arial"/>
                <w:sz w:val="20"/>
                <w:szCs w:val="20"/>
                <w:lang w:val="en-GB" w:eastAsia="en-US"/>
              </w:rPr>
            </w:pPr>
            <w:proofErr w:type="spellStart"/>
            <w:r w:rsidRPr="00125D3B">
              <w:rPr>
                <w:rFonts w:ascii="Arial" w:hAnsi="Arial" w:cs="Arial"/>
                <w:sz w:val="20"/>
                <w:szCs w:val="20"/>
                <w:lang w:val="en-GB" w:eastAsia="en-US"/>
              </w:rPr>
              <w:t>PcO</w:t>
            </w:r>
            <w:proofErr w:type="spellEnd"/>
            <w:r w:rsidRPr="00125D3B">
              <w:rPr>
                <w:rFonts w:ascii="Arial" w:hAnsi="Arial" w:cs="Arial"/>
                <w:sz w:val="20"/>
                <w:szCs w:val="20"/>
                <w:lang w:val="en-GB" w:eastAsia="en-US"/>
              </w:rPr>
              <w:t xml:space="preserve"> - is the electricity that is needed by the cooling system in case of idle operation, kW;</w:t>
            </w:r>
          </w:p>
          <w:p w14:paraId="1D47D89E" w14:textId="77777777" w:rsidR="00125D3B" w:rsidRPr="00125D3B" w:rsidRDefault="00125D3B" w:rsidP="00B07CE5">
            <w:pPr>
              <w:tabs>
                <w:tab w:val="left" w:pos="0"/>
                <w:tab w:val="left" w:pos="567"/>
              </w:tabs>
              <w:spacing w:before="60" w:after="60"/>
              <w:ind w:left="567"/>
              <w:contextualSpacing/>
              <w:jc w:val="both"/>
              <w:rPr>
                <w:rFonts w:ascii="Arial" w:hAnsi="Arial" w:cs="Arial"/>
                <w:sz w:val="20"/>
                <w:szCs w:val="20"/>
                <w:lang w:val="en-GB" w:eastAsia="en-US"/>
              </w:rPr>
            </w:pPr>
            <w:r w:rsidRPr="00125D3B">
              <w:rPr>
                <w:rFonts w:ascii="Arial" w:hAnsi="Arial" w:cs="Arial"/>
                <w:sz w:val="20"/>
                <w:szCs w:val="20"/>
                <w:lang w:val="en-GB" w:eastAsia="en-US"/>
              </w:rPr>
              <w:t>Pk - are the measured losses of the rated current and the nominal frequency load on the nominal branch, adjusted to the nominal temperature (in accordance with the requirements of IEC standard 60076-1), kW;</w:t>
            </w:r>
          </w:p>
          <w:p w14:paraId="684DE5AF" w14:textId="77777777" w:rsidR="00125D3B" w:rsidRPr="00125D3B" w:rsidRDefault="00125D3B" w:rsidP="00B07CE5">
            <w:pPr>
              <w:tabs>
                <w:tab w:val="left" w:pos="0"/>
                <w:tab w:val="left" w:pos="567"/>
              </w:tabs>
              <w:spacing w:before="60" w:after="60"/>
              <w:ind w:left="567"/>
              <w:contextualSpacing/>
              <w:jc w:val="both"/>
              <w:rPr>
                <w:rFonts w:ascii="Arial" w:hAnsi="Arial" w:cs="Arial"/>
                <w:sz w:val="20"/>
                <w:szCs w:val="20"/>
                <w:lang w:val="en-GB" w:eastAsia="en-US"/>
              </w:rPr>
            </w:pPr>
            <w:proofErr w:type="spellStart"/>
            <w:r w:rsidRPr="00125D3B">
              <w:rPr>
                <w:rFonts w:ascii="Arial" w:hAnsi="Arial" w:cs="Arial"/>
                <w:sz w:val="20"/>
                <w:szCs w:val="20"/>
                <w:lang w:val="en-GB" w:eastAsia="en-US"/>
              </w:rPr>
              <w:t>Pck</w:t>
            </w:r>
            <w:proofErr w:type="spellEnd"/>
            <w:r w:rsidRPr="00125D3B">
              <w:rPr>
                <w:rFonts w:ascii="Arial" w:hAnsi="Arial" w:cs="Arial"/>
                <w:sz w:val="20"/>
                <w:szCs w:val="20"/>
                <w:lang w:val="en-GB" w:eastAsia="en-US"/>
              </w:rPr>
              <w:t>(</w:t>
            </w:r>
            <w:proofErr w:type="spellStart"/>
            <w:r w:rsidRPr="00125D3B">
              <w:rPr>
                <w:rFonts w:ascii="Arial" w:hAnsi="Arial" w:cs="Arial"/>
                <w:sz w:val="20"/>
                <w:szCs w:val="20"/>
                <w:lang w:val="en-GB" w:eastAsia="en-US"/>
              </w:rPr>
              <w:t>k</w:t>
            </w:r>
            <w:r w:rsidRPr="00125D3B">
              <w:rPr>
                <w:rFonts w:ascii="Arial" w:hAnsi="Arial" w:cs="Arial"/>
                <w:sz w:val="20"/>
                <w:szCs w:val="20"/>
                <w:vertAlign w:val="subscript"/>
                <w:lang w:val="en-GB" w:eastAsia="en-US"/>
              </w:rPr>
              <w:t>PEI</w:t>
            </w:r>
            <w:proofErr w:type="spellEnd"/>
            <w:r w:rsidRPr="00125D3B">
              <w:rPr>
                <w:rFonts w:ascii="Arial" w:hAnsi="Arial" w:cs="Arial"/>
                <w:sz w:val="20"/>
                <w:szCs w:val="20"/>
                <w:lang w:val="en-GB" w:eastAsia="en-US"/>
              </w:rPr>
              <w:t xml:space="preserve">) - is the electricity that, together with pc0 (additionally), is needed by the cooling system for it to work at the rated load of </w:t>
            </w:r>
            <w:proofErr w:type="spellStart"/>
            <w:r w:rsidRPr="00125D3B">
              <w:rPr>
                <w:rFonts w:ascii="Arial" w:hAnsi="Arial" w:cs="Arial"/>
                <w:sz w:val="20"/>
                <w:szCs w:val="20"/>
                <w:lang w:val="en-GB" w:eastAsia="en-US"/>
              </w:rPr>
              <w:t>kPEI</w:t>
            </w:r>
            <w:proofErr w:type="spellEnd"/>
            <w:r w:rsidRPr="00125D3B">
              <w:rPr>
                <w:rFonts w:ascii="Arial" w:hAnsi="Arial" w:cs="Arial"/>
                <w:sz w:val="20"/>
                <w:szCs w:val="20"/>
                <w:lang w:val="en-GB" w:eastAsia="en-US"/>
              </w:rPr>
              <w:t xml:space="preserve"> generations. </w:t>
            </w:r>
            <w:proofErr w:type="spellStart"/>
            <w:r w:rsidRPr="00125D3B">
              <w:rPr>
                <w:rFonts w:ascii="Arial" w:hAnsi="Arial" w:cs="Arial"/>
                <w:sz w:val="20"/>
                <w:szCs w:val="20"/>
                <w:lang w:val="en-GB" w:eastAsia="en-US"/>
              </w:rPr>
              <w:t>P</w:t>
            </w:r>
            <w:r w:rsidRPr="00125D3B">
              <w:rPr>
                <w:rFonts w:ascii="Arial" w:hAnsi="Arial" w:cs="Arial"/>
                <w:sz w:val="20"/>
                <w:szCs w:val="20"/>
                <w:vertAlign w:val="subscript"/>
                <w:lang w:val="en-GB" w:eastAsia="en-US"/>
              </w:rPr>
              <w:t>ck</w:t>
            </w:r>
            <w:proofErr w:type="spellEnd"/>
            <w:r w:rsidRPr="00125D3B">
              <w:rPr>
                <w:rFonts w:ascii="Arial" w:hAnsi="Arial" w:cs="Arial"/>
                <w:sz w:val="20"/>
                <w:szCs w:val="20"/>
                <w:lang w:val="en-GB" w:eastAsia="en-US"/>
              </w:rPr>
              <w:t xml:space="preserve"> is a load function. </w:t>
            </w:r>
            <w:proofErr w:type="spellStart"/>
            <w:r w:rsidRPr="00125D3B">
              <w:rPr>
                <w:rFonts w:ascii="Arial" w:hAnsi="Arial" w:cs="Arial"/>
                <w:sz w:val="20"/>
                <w:szCs w:val="20"/>
                <w:lang w:val="en-GB" w:eastAsia="en-US"/>
              </w:rPr>
              <w:t>P</w:t>
            </w:r>
            <w:r w:rsidRPr="00125D3B">
              <w:rPr>
                <w:rFonts w:ascii="Arial" w:hAnsi="Arial" w:cs="Arial"/>
                <w:sz w:val="20"/>
                <w:szCs w:val="20"/>
                <w:vertAlign w:val="subscript"/>
                <w:lang w:val="en-GB" w:eastAsia="en-US"/>
              </w:rPr>
              <w:t>ck</w:t>
            </w:r>
            <w:proofErr w:type="spellEnd"/>
            <w:r w:rsidRPr="00125D3B">
              <w:rPr>
                <w:rFonts w:ascii="Arial" w:hAnsi="Arial" w:cs="Arial"/>
                <w:sz w:val="20"/>
                <w:szCs w:val="20"/>
                <w:lang w:val="en-GB" w:eastAsia="en-US"/>
              </w:rPr>
              <w:t>(</w:t>
            </w:r>
            <w:proofErr w:type="spellStart"/>
            <w:r w:rsidRPr="00125D3B">
              <w:rPr>
                <w:rFonts w:ascii="Arial" w:hAnsi="Arial" w:cs="Arial"/>
                <w:sz w:val="20"/>
                <w:szCs w:val="20"/>
                <w:lang w:val="en-GB" w:eastAsia="en-US"/>
              </w:rPr>
              <w:t>k</w:t>
            </w:r>
            <w:r w:rsidRPr="00125D3B">
              <w:rPr>
                <w:rFonts w:ascii="Arial" w:hAnsi="Arial" w:cs="Arial"/>
                <w:sz w:val="20"/>
                <w:szCs w:val="20"/>
                <w:vertAlign w:val="subscript"/>
                <w:lang w:val="en-GB" w:eastAsia="en-US"/>
              </w:rPr>
              <w:t>PEI</w:t>
            </w:r>
            <w:proofErr w:type="spellEnd"/>
            <w:r w:rsidRPr="00125D3B">
              <w:rPr>
                <w:rFonts w:ascii="Arial" w:hAnsi="Arial" w:cs="Arial"/>
                <w:sz w:val="20"/>
                <w:szCs w:val="20"/>
                <w:lang w:val="en-GB" w:eastAsia="en-US"/>
              </w:rPr>
              <w:t>) is obtained by means of a typical test by measuring the engine power of fans and liquid (oil) pumps, kW;</w:t>
            </w:r>
          </w:p>
          <w:p w14:paraId="0F7164EF" w14:textId="77777777" w:rsidR="00125D3B" w:rsidRPr="00125D3B" w:rsidRDefault="00125D3B" w:rsidP="00B07CE5">
            <w:pPr>
              <w:tabs>
                <w:tab w:val="left" w:pos="0"/>
                <w:tab w:val="left" w:pos="567"/>
              </w:tabs>
              <w:spacing w:before="60" w:after="60"/>
              <w:ind w:left="567"/>
              <w:contextualSpacing/>
              <w:jc w:val="both"/>
              <w:rPr>
                <w:rFonts w:ascii="Arial" w:hAnsi="Arial" w:cs="Arial"/>
                <w:sz w:val="20"/>
                <w:szCs w:val="20"/>
                <w:lang w:val="en-GB" w:eastAsia="en-US"/>
              </w:rPr>
            </w:pPr>
            <w:proofErr w:type="spellStart"/>
            <w:r w:rsidRPr="00125D3B">
              <w:rPr>
                <w:rFonts w:ascii="Arial" w:hAnsi="Arial" w:cs="Arial"/>
                <w:sz w:val="20"/>
                <w:szCs w:val="20"/>
                <w:lang w:val="en-GB" w:eastAsia="en-US"/>
              </w:rPr>
              <w:t>kPEI</w:t>
            </w:r>
            <w:proofErr w:type="spellEnd"/>
            <w:r w:rsidRPr="00125D3B">
              <w:rPr>
                <w:rFonts w:ascii="Arial" w:hAnsi="Arial" w:cs="Arial"/>
                <w:sz w:val="20"/>
                <w:szCs w:val="20"/>
                <w:lang w:val="en-GB" w:eastAsia="en-US"/>
              </w:rPr>
              <w:t xml:space="preserve"> - is the load factor at which the index of maximum efficiency is determined;</w:t>
            </w:r>
          </w:p>
          <w:p w14:paraId="0C39F00E" w14:textId="77777777"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r w:rsidRPr="00125D3B">
              <w:rPr>
                <w:rFonts w:ascii="Arial" w:hAnsi="Arial" w:cs="Arial"/>
                <w:sz w:val="20"/>
                <w:szCs w:val="20"/>
                <w:lang w:val="en-GB" w:eastAsia="en-US"/>
              </w:rPr>
              <w:t>Sr - is the rated power of a transformer or autotransformer, on which P</w:t>
            </w:r>
            <w:r w:rsidRPr="00125D3B">
              <w:rPr>
                <w:rFonts w:ascii="Arial" w:hAnsi="Arial" w:cs="Arial"/>
                <w:sz w:val="20"/>
                <w:szCs w:val="20"/>
                <w:vertAlign w:val="subscript"/>
                <w:lang w:val="en-GB" w:eastAsia="en-US"/>
              </w:rPr>
              <w:t>k,</w:t>
            </w:r>
            <w:r w:rsidRPr="00125D3B">
              <w:rPr>
                <w:rFonts w:ascii="Arial" w:hAnsi="Arial" w:cs="Arial"/>
                <w:sz w:val="20"/>
                <w:szCs w:val="20"/>
                <w:lang w:val="en-GB" w:eastAsia="en-US"/>
              </w:rPr>
              <w:t xml:space="preserve"> kW is based.</w:t>
            </w:r>
          </w:p>
          <w:p w14:paraId="25BB0AA6" w14:textId="77777777"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r w:rsidRPr="00125D3B">
              <w:rPr>
                <w:rFonts w:ascii="Arial" w:hAnsi="Arial" w:cs="Arial"/>
                <w:sz w:val="20"/>
                <w:szCs w:val="20"/>
                <w:lang w:val="en-GB" w:eastAsia="en-US"/>
              </w:rPr>
              <w:t xml:space="preserve"> </w:t>
            </w:r>
          </w:p>
          <w:p w14:paraId="139459AD" w14:textId="32A261E2" w:rsidR="00125D3B" w:rsidRDefault="00125D3B" w:rsidP="00125D3B">
            <w:pPr>
              <w:tabs>
                <w:tab w:val="left" w:pos="0"/>
                <w:tab w:val="left" w:pos="567"/>
              </w:tabs>
              <w:spacing w:before="60" w:after="60"/>
              <w:contextualSpacing/>
              <w:jc w:val="both"/>
              <w:rPr>
                <w:rFonts w:ascii="Arial" w:hAnsi="Arial" w:cs="Arial"/>
                <w:sz w:val="20"/>
                <w:szCs w:val="20"/>
                <w:lang w:val="en-GB" w:eastAsia="en-US"/>
              </w:rPr>
            </w:pPr>
            <w:r w:rsidRPr="00125D3B">
              <w:rPr>
                <w:rFonts w:ascii="Arial" w:hAnsi="Arial" w:cs="Arial"/>
                <w:sz w:val="20"/>
                <w:szCs w:val="20"/>
                <w:lang w:val="en-GB" w:eastAsia="en-US"/>
              </w:rPr>
              <w:t>The formula for calculating the cost of loss (P):</w:t>
            </w:r>
          </w:p>
          <w:p w14:paraId="699A33CF" w14:textId="77777777" w:rsidR="00A01097" w:rsidRDefault="00A01097" w:rsidP="00125D3B">
            <w:pPr>
              <w:tabs>
                <w:tab w:val="left" w:pos="0"/>
                <w:tab w:val="left" w:pos="567"/>
              </w:tabs>
              <w:spacing w:before="60" w:after="60"/>
              <w:contextualSpacing/>
              <w:jc w:val="both"/>
              <w:rPr>
                <w:rFonts w:ascii="Arial" w:hAnsi="Arial" w:cs="Arial"/>
                <w:sz w:val="20"/>
                <w:szCs w:val="20"/>
                <w:lang w:val="en-GB" w:eastAsia="en-US"/>
              </w:rPr>
            </w:pPr>
          </w:p>
          <w:p w14:paraId="25D7F2F1" w14:textId="30ACAE31" w:rsidR="00A01097" w:rsidRPr="00A01097" w:rsidRDefault="00095D3E" w:rsidP="00A01097">
            <w:pPr>
              <w:pStyle w:val="ListParagraph"/>
              <w:tabs>
                <w:tab w:val="left" w:pos="0"/>
                <w:tab w:val="left" w:pos="567"/>
              </w:tabs>
              <w:spacing w:before="60" w:after="60"/>
              <w:ind w:left="0"/>
              <w:jc w:val="both"/>
              <w:rPr>
                <w:rFonts w:ascii="Arial" w:hAnsi="Arial" w:cs="Arial"/>
                <w:sz w:val="20"/>
                <w:szCs w:val="20"/>
              </w:rPr>
            </w:pPr>
            <m:oMathPara>
              <m:oMath>
                <m:r>
                  <w:rPr>
                    <w:rFonts w:ascii="Cambria Math" w:hAnsi="Cambria Math" w:cs="Arial"/>
                    <w:sz w:val="20"/>
                    <w:szCs w:val="20"/>
                  </w:rPr>
                  <m:t>P</m:t>
                </m:r>
                <m:r>
                  <m:rPr>
                    <m:sty m:val="p"/>
                  </m:rPr>
                  <w:rPr>
                    <w:rFonts w:ascii="Cambria Math" w:hAnsi="Cambria Math" w:cs="Arial"/>
                    <w:sz w:val="20"/>
                    <w:szCs w:val="20"/>
                  </w:rPr>
                  <m:t>=2x</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200</m:t>
                    </m:r>
                  </m:sub>
                </m:sSub>
                <m:r>
                  <w:rPr>
                    <w:rFonts w:ascii="Cambria Math" w:hAnsi="Cambria Math" w:cs="Arial"/>
                    <w:sz w:val="20"/>
                    <w:szCs w:val="20"/>
                  </w:rPr>
                  <m:t>+2</m:t>
                </m:r>
                <m:r>
                  <w:rPr>
                    <w:rStyle w:val="FootnoteReference"/>
                    <w:rFonts w:ascii="Cambria Math" w:hAnsi="Cambria Math" w:cs="Arial"/>
                    <w:i/>
                    <w:sz w:val="20"/>
                    <w:szCs w:val="20"/>
                  </w:rPr>
                  <w:footnoteReference w:id="2"/>
                </m:r>
                <m:r>
                  <w:rPr>
                    <w:rFonts w:ascii="Cambria Math" w:hAnsi="Cambria Math" w:cs="Arial"/>
                    <w:sz w:val="20"/>
                    <w:szCs w:val="20"/>
                  </w:rPr>
                  <m:t>x</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350</m:t>
                    </m:r>
                  </m:sub>
                </m:sSub>
              </m:oMath>
            </m:oMathPara>
          </w:p>
          <w:p w14:paraId="026C0CC0" w14:textId="77777777" w:rsidR="00A01097" w:rsidRPr="00A01097" w:rsidRDefault="00A01097" w:rsidP="00A01097">
            <w:pPr>
              <w:pStyle w:val="ListParagraph"/>
              <w:tabs>
                <w:tab w:val="left" w:pos="0"/>
                <w:tab w:val="left" w:pos="567"/>
              </w:tabs>
              <w:spacing w:before="60" w:after="60"/>
              <w:ind w:left="0"/>
              <w:jc w:val="both"/>
              <w:rPr>
                <w:rFonts w:ascii="Arial" w:hAnsi="Arial" w:cs="Arial"/>
                <w:sz w:val="20"/>
                <w:szCs w:val="20"/>
              </w:rPr>
            </w:pPr>
          </w:p>
          <w:p w14:paraId="6D8DE722" w14:textId="0B20E23D" w:rsidR="00A01097" w:rsidRPr="00A01097" w:rsidRDefault="00A01097" w:rsidP="00125D3B">
            <w:pPr>
              <w:tabs>
                <w:tab w:val="left" w:pos="0"/>
                <w:tab w:val="left" w:pos="567"/>
              </w:tabs>
              <w:spacing w:before="60" w:after="60"/>
              <w:contextualSpacing/>
              <w:jc w:val="both"/>
              <w:rPr>
                <w:rFonts w:ascii="Arial" w:hAnsi="Arial" w:cs="Arial"/>
                <w:sz w:val="20"/>
                <w:szCs w:val="20"/>
                <w:lang w:val="en-GB" w:eastAsia="en-US"/>
              </w:rPr>
            </w:pPr>
            <w:r w:rsidRPr="00A01097">
              <w:rPr>
                <w:rFonts w:ascii="Arial" w:hAnsi="Arial" w:cs="Arial"/>
                <w:sz w:val="20"/>
                <w:szCs w:val="20"/>
                <w:lang w:val="en-GB"/>
              </w:rPr>
              <w:lastRenderedPageBreak/>
              <w:t xml:space="preserve">Where </w:t>
            </w:r>
            <w:r w:rsidRPr="00A01097">
              <w:rPr>
                <w:rStyle w:val="katex-mathml"/>
                <w:rFonts w:ascii="Arial" w:hAnsi="Arial" w:cs="Arial"/>
                <w:sz w:val="20"/>
                <w:szCs w:val="20"/>
                <w:lang w:val="en-GB"/>
              </w:rPr>
              <w:t>P</w:t>
            </w:r>
            <w:r w:rsidRPr="00A01097">
              <w:rPr>
                <w:rStyle w:val="mord"/>
                <w:rFonts w:ascii="Arial" w:hAnsi="Arial" w:cs="Arial"/>
                <w:sz w:val="20"/>
                <w:szCs w:val="20"/>
                <w:vertAlign w:val="subscript"/>
                <w:lang w:val="en-GB"/>
              </w:rPr>
              <w:t>200</w:t>
            </w:r>
            <w:r w:rsidRPr="00A01097">
              <w:rPr>
                <w:rStyle w:val="vlist-s"/>
                <w:rFonts w:ascii="Arial" w:hAnsi="Arial" w:cs="Arial"/>
                <w:sz w:val="20"/>
                <w:szCs w:val="20"/>
                <w:lang w:val="en-GB"/>
              </w:rPr>
              <w:t>​</w:t>
            </w:r>
            <w:r w:rsidRPr="00A01097">
              <w:rPr>
                <w:rFonts w:ascii="Arial" w:hAnsi="Arial" w:cs="Arial"/>
                <w:sz w:val="20"/>
                <w:szCs w:val="20"/>
                <w:lang w:val="en-GB"/>
              </w:rPr>
              <w:t xml:space="preserve"> represents the energy losses of a single 200 MVA autotransformer calculated over a 35-year period, and </w:t>
            </w:r>
            <w:r w:rsidRPr="00A01097">
              <w:rPr>
                <w:rStyle w:val="katex-mathml"/>
                <w:rFonts w:ascii="Arial" w:hAnsi="Arial" w:cs="Arial"/>
                <w:sz w:val="20"/>
                <w:szCs w:val="20"/>
                <w:lang w:val="en-GB"/>
              </w:rPr>
              <w:t>P</w:t>
            </w:r>
            <w:r w:rsidR="001413D1">
              <w:rPr>
                <w:rStyle w:val="katex-mathml"/>
                <w:rFonts w:ascii="Arial" w:hAnsi="Arial" w:cs="Arial"/>
                <w:sz w:val="20"/>
                <w:szCs w:val="20"/>
                <w:vertAlign w:val="subscript"/>
                <w:lang w:val="en-GB"/>
              </w:rPr>
              <w:t>3</w:t>
            </w:r>
            <w:r w:rsidRPr="00A01097">
              <w:rPr>
                <w:rStyle w:val="katex-mathml"/>
                <w:rFonts w:ascii="Arial" w:hAnsi="Arial" w:cs="Arial"/>
                <w:sz w:val="20"/>
                <w:szCs w:val="20"/>
                <w:vertAlign w:val="subscript"/>
                <w:lang w:val="en-GB"/>
              </w:rPr>
              <w:t>50</w:t>
            </w:r>
            <w:r w:rsidRPr="00A01097">
              <w:rPr>
                <w:rStyle w:val="vlist-s"/>
                <w:rFonts w:ascii="Arial" w:hAnsi="Arial" w:cs="Arial"/>
                <w:sz w:val="20"/>
                <w:szCs w:val="20"/>
                <w:lang w:val="en-GB"/>
              </w:rPr>
              <w:t>​</w:t>
            </w:r>
            <w:r w:rsidRPr="00A01097">
              <w:rPr>
                <w:rFonts w:ascii="Arial" w:hAnsi="Arial" w:cs="Arial"/>
                <w:sz w:val="20"/>
                <w:szCs w:val="20"/>
                <w:lang w:val="en-GB"/>
              </w:rPr>
              <w:t xml:space="preserve"> represents the energy losses of a single </w:t>
            </w:r>
            <w:r w:rsidR="00A77F88">
              <w:rPr>
                <w:rFonts w:ascii="Arial" w:hAnsi="Arial" w:cs="Arial"/>
                <w:sz w:val="20"/>
                <w:szCs w:val="20"/>
                <w:lang w:val="en-GB"/>
              </w:rPr>
              <w:t>350</w:t>
            </w:r>
            <w:r w:rsidR="00A77F88" w:rsidRPr="00A01097">
              <w:rPr>
                <w:rFonts w:ascii="Arial" w:hAnsi="Arial" w:cs="Arial"/>
                <w:sz w:val="20"/>
                <w:szCs w:val="20"/>
                <w:lang w:val="en-GB"/>
              </w:rPr>
              <w:t xml:space="preserve"> </w:t>
            </w:r>
            <w:r w:rsidRPr="00A01097">
              <w:rPr>
                <w:rFonts w:ascii="Arial" w:hAnsi="Arial" w:cs="Arial"/>
                <w:sz w:val="20"/>
                <w:szCs w:val="20"/>
                <w:lang w:val="en-GB"/>
              </w:rPr>
              <w:t>MVA autotransformer calculated over a 35-year period, calculated using the formula:</w:t>
            </w:r>
          </w:p>
          <w:p w14:paraId="40E11444" w14:textId="77777777" w:rsidR="00A01097" w:rsidRDefault="00A01097" w:rsidP="00125D3B">
            <w:pPr>
              <w:tabs>
                <w:tab w:val="left" w:pos="0"/>
                <w:tab w:val="left" w:pos="567"/>
              </w:tabs>
              <w:spacing w:before="60" w:after="60"/>
              <w:contextualSpacing/>
              <w:jc w:val="both"/>
              <w:rPr>
                <w:rFonts w:ascii="Arial" w:hAnsi="Arial" w:cs="Arial"/>
                <w:sz w:val="20"/>
                <w:szCs w:val="20"/>
                <w:lang w:val="en-GB" w:eastAsia="en-US"/>
              </w:rPr>
            </w:pPr>
          </w:p>
          <w:p w14:paraId="3D40ED62" w14:textId="26DE5C8C" w:rsidR="00125D3B" w:rsidRPr="00125D3B" w:rsidRDefault="00A44845" w:rsidP="00125D3B">
            <w:pPr>
              <w:tabs>
                <w:tab w:val="left" w:pos="0"/>
                <w:tab w:val="left" w:pos="567"/>
              </w:tabs>
              <w:spacing w:before="60" w:after="60"/>
              <w:contextualSpacing/>
              <w:jc w:val="both"/>
              <w:rPr>
                <w:rFonts w:ascii="Arial" w:hAnsi="Arial" w:cs="Arial"/>
                <w:sz w:val="20"/>
                <w:szCs w:val="20"/>
                <w:lang w:val="en-GB" w:eastAsia="en-US"/>
              </w:rPr>
            </w:pPr>
            <m:oMathPara>
              <m:oMath>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x</m:t>
                    </m:r>
                  </m:sub>
                </m:sSub>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k</m:t>
                    </m:r>
                  </m:e>
                  <m:sub>
                    <m:r>
                      <w:rPr>
                        <w:rFonts w:ascii="Cambria Math" w:hAnsi="Cambria Math" w:cs="Arial"/>
                        <w:sz w:val="20"/>
                        <w:szCs w:val="20"/>
                        <w:lang w:val="en-GB" w:eastAsia="en-US"/>
                      </w:rPr>
                      <m:t>1</m:t>
                    </m:r>
                  </m:sub>
                </m:sSub>
                <m:r>
                  <w:rPr>
                    <w:rFonts w:ascii="Cambria Math" w:hAnsi="Cambria Math" w:cs="Arial"/>
                    <w:sz w:val="20"/>
                    <w:szCs w:val="20"/>
                    <w:lang w:val="en-GB" w:eastAsia="en-US"/>
                  </w:rPr>
                  <m:t>×</m:t>
                </m:r>
                <m:d>
                  <m:dPr>
                    <m:ctrlPr>
                      <w:rPr>
                        <w:rFonts w:ascii="Cambria Math" w:hAnsi="Cambria Math" w:cs="Arial"/>
                        <w:i/>
                        <w:sz w:val="20"/>
                        <w:szCs w:val="20"/>
                        <w:lang w:val="en-GB" w:eastAsia="en-US"/>
                      </w:rPr>
                    </m:ctrlPr>
                  </m:dPr>
                  <m:e>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0</m:t>
                        </m:r>
                      </m:sub>
                    </m:sSub>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c0</m:t>
                        </m:r>
                      </m:sub>
                    </m:sSub>
                  </m:e>
                </m:d>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k</m:t>
                    </m:r>
                  </m:e>
                  <m:sub>
                    <m:r>
                      <w:rPr>
                        <w:rFonts w:ascii="Cambria Math" w:hAnsi="Cambria Math" w:cs="Arial"/>
                        <w:sz w:val="20"/>
                        <w:szCs w:val="20"/>
                        <w:lang w:val="en-GB" w:eastAsia="en-US"/>
                      </w:rPr>
                      <m:t>2</m:t>
                    </m:r>
                  </m:sub>
                </m:sSub>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k</m:t>
                    </m:r>
                  </m:sub>
                </m:sSub>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cs</m:t>
                    </m:r>
                  </m:sub>
                </m:sSub>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c0</m:t>
                    </m:r>
                  </m:sub>
                </m:sSub>
                <m:r>
                  <w:rPr>
                    <w:rFonts w:ascii="Cambria Math" w:hAnsi="Cambria Math" w:cs="Arial"/>
                    <w:sz w:val="20"/>
                    <w:szCs w:val="20"/>
                    <w:lang w:val="en-GB" w:eastAsia="en-US"/>
                  </w:rPr>
                  <m:t>)</m:t>
                </m:r>
              </m:oMath>
            </m:oMathPara>
          </w:p>
          <w:p w14:paraId="26CD2AC4" w14:textId="77777777" w:rsidR="00A01097" w:rsidRDefault="00A01097" w:rsidP="00125D3B">
            <w:pPr>
              <w:tabs>
                <w:tab w:val="left" w:pos="0"/>
                <w:tab w:val="left" w:pos="567"/>
              </w:tabs>
              <w:spacing w:before="60" w:after="60"/>
              <w:ind w:left="720"/>
              <w:contextualSpacing/>
              <w:jc w:val="both"/>
              <w:rPr>
                <w:rFonts w:ascii="Arial" w:hAnsi="Arial" w:cs="Arial"/>
                <w:sz w:val="20"/>
                <w:szCs w:val="20"/>
                <w:lang w:val="en-GB" w:eastAsia="en-US"/>
              </w:rPr>
            </w:pPr>
          </w:p>
          <w:p w14:paraId="7EDF9087" w14:textId="405F65B2"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r w:rsidRPr="00125D3B">
              <w:rPr>
                <w:rFonts w:ascii="Arial" w:hAnsi="Arial" w:cs="Arial"/>
                <w:sz w:val="20"/>
                <w:szCs w:val="20"/>
                <w:lang w:val="en-GB" w:eastAsia="en-US"/>
              </w:rPr>
              <w:t>where:</w:t>
            </w:r>
          </w:p>
          <w:p w14:paraId="61B899A1" w14:textId="77777777"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r w:rsidRPr="00125D3B">
              <w:rPr>
                <w:rFonts w:ascii="Arial" w:hAnsi="Arial" w:cs="Arial"/>
                <w:sz w:val="20"/>
                <w:szCs w:val="20"/>
                <w:lang w:val="en-GB" w:eastAsia="en-US"/>
              </w:rPr>
              <w:t xml:space="preserve"> </w:t>
            </w:r>
          </w:p>
          <w:p w14:paraId="01EAA8CF" w14:textId="77777777"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p>
          <w:p w14:paraId="225AAF38" w14:textId="77777777"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r w:rsidRPr="00125D3B">
              <w:rPr>
                <w:rFonts w:ascii="Arial" w:hAnsi="Arial" w:cs="Arial"/>
                <w:sz w:val="20"/>
                <w:szCs w:val="20"/>
                <w:lang w:val="en-GB" w:eastAsia="en-US"/>
              </w:rPr>
              <w:t>k1 is the coefficient for calculating the loss price of the blank act</w:t>
            </w:r>
          </w:p>
          <w:p w14:paraId="0C00BCA9" w14:textId="77777777" w:rsidR="00125D3B" w:rsidRPr="00125D3B" w:rsidRDefault="00125D3B" w:rsidP="00125D3B">
            <w:pPr>
              <w:tabs>
                <w:tab w:val="left" w:pos="0"/>
                <w:tab w:val="left" w:pos="567"/>
              </w:tabs>
              <w:spacing w:before="60" w:after="60"/>
              <w:contextualSpacing/>
              <w:jc w:val="both"/>
              <w:rPr>
                <w:rFonts w:ascii="Arial" w:hAnsi="Arial" w:cs="Arial"/>
                <w:sz w:val="20"/>
                <w:szCs w:val="20"/>
                <w:lang w:val="en-GB" w:eastAsia="en-US"/>
              </w:rPr>
            </w:pPr>
            <w:r w:rsidRPr="00125D3B">
              <w:rPr>
                <w:rFonts w:ascii="Arial" w:hAnsi="Arial" w:cs="Arial"/>
                <w:sz w:val="20"/>
                <w:szCs w:val="20"/>
                <w:lang w:val="en-GB" w:eastAsia="en-US"/>
              </w:rPr>
              <w:t>k2 is the coefficient for calculating the cost of load loss</w:t>
            </w:r>
          </w:p>
          <w:p w14:paraId="13524430" w14:textId="122B9E1A" w:rsidR="00125D3B" w:rsidRPr="00125D3B" w:rsidRDefault="00125D3B" w:rsidP="003F32BC">
            <w:pPr>
              <w:ind w:left="449" w:right="2411"/>
              <w:jc w:val="center"/>
              <w:rPr>
                <w:rFonts w:ascii="Arial" w:eastAsia="Cambria Math" w:hAnsi="Arial" w:cs="Arial"/>
                <w:sz w:val="20"/>
                <w:szCs w:val="20"/>
                <w:lang w:val="en-GB" w:eastAsia="en-US"/>
              </w:rPr>
            </w:pPr>
            <w:r w:rsidRPr="00125D3B">
              <w:rPr>
                <w:rFonts w:ascii="Cambria Math" w:eastAsia="Cambria Math" w:hAnsi="Cambria Math" w:cs="Cambria Math"/>
                <w:sz w:val="20"/>
                <w:szCs w:val="20"/>
                <w:lang w:val="en-GB" w:eastAsia="en-US"/>
              </w:rPr>
              <w:t xml:space="preserve">k1  </w:t>
            </w:r>
            <w:r w:rsidRPr="00125D3B">
              <w:rPr>
                <w:rFonts w:ascii="Arial" w:eastAsia="Cambria Math" w:hAnsi="Arial" w:cs="Arial"/>
                <w:sz w:val="20"/>
                <w:szCs w:val="20"/>
                <w:lang w:val="en-GB" w:eastAsia="en-US"/>
              </w:rPr>
              <w:t xml:space="preserve">= </w:t>
            </w:r>
            <w:r w:rsidR="003F32BC">
              <w:rPr>
                <w:rFonts w:ascii="Arial" w:eastAsia="Cambria Math" w:hAnsi="Arial" w:cs="Arial"/>
                <w:sz w:val="20"/>
                <w:szCs w:val="20"/>
                <w:lang w:val="en-GB" w:eastAsia="en-US"/>
              </w:rPr>
              <w:t>13 466</w:t>
            </w:r>
          </w:p>
          <w:p w14:paraId="560EA008" w14:textId="77777777" w:rsidR="00125D3B" w:rsidRPr="00125D3B" w:rsidRDefault="00125D3B" w:rsidP="00125D3B">
            <w:pPr>
              <w:tabs>
                <w:tab w:val="left" w:pos="0"/>
                <w:tab w:val="left" w:pos="567"/>
              </w:tabs>
              <w:spacing w:before="60" w:after="60"/>
              <w:contextualSpacing/>
              <w:jc w:val="both"/>
              <w:rPr>
                <w:rFonts w:ascii="Arial" w:hAnsi="Arial" w:cs="Arial"/>
                <w:sz w:val="20"/>
                <w:szCs w:val="20"/>
                <w:lang w:val="en-GB" w:eastAsia="en-US"/>
              </w:rPr>
            </w:pPr>
            <w:r w:rsidRPr="00125D3B">
              <w:rPr>
                <w:rFonts w:ascii="Arial" w:hAnsi="Arial" w:cs="Arial"/>
                <w:i/>
                <w:sz w:val="20"/>
                <w:szCs w:val="20"/>
                <w:lang w:val="en-GB" w:eastAsia="en-US"/>
              </w:rPr>
              <w:t>The formula for calculating</w:t>
            </w:r>
            <w:r w:rsidRPr="00125D3B">
              <w:rPr>
                <w:rFonts w:ascii="Arial" w:hAnsi="Arial" w:cs="Arial"/>
                <w:sz w:val="20"/>
                <w:szCs w:val="20"/>
                <w:lang w:val="en-GB" w:eastAsia="en-US"/>
              </w:rPr>
              <w:t xml:space="preserve"> k1:</w:t>
            </w:r>
          </w:p>
          <w:p w14:paraId="0A1E2E66" w14:textId="77777777" w:rsidR="00125D3B" w:rsidRPr="00125D3B" w:rsidRDefault="00A44845" w:rsidP="00125D3B">
            <w:pPr>
              <w:tabs>
                <w:tab w:val="left" w:pos="0"/>
                <w:tab w:val="left" w:pos="567"/>
              </w:tabs>
              <w:spacing w:before="60" w:after="60"/>
              <w:contextualSpacing/>
              <w:jc w:val="both"/>
              <w:rPr>
                <w:rFonts w:ascii="Arial" w:hAnsi="Arial" w:cs="Arial"/>
                <w:sz w:val="20"/>
                <w:szCs w:val="20"/>
                <w:lang w:val="en-GB" w:eastAsia="en-US"/>
              </w:rPr>
            </w:pPr>
            <m:oMathPara>
              <m:oMath>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k</m:t>
                    </m:r>
                  </m:e>
                  <m:sub>
                    <m:r>
                      <w:rPr>
                        <w:rFonts w:ascii="Cambria Math" w:hAnsi="Cambria Math" w:cs="Arial"/>
                        <w:sz w:val="20"/>
                        <w:szCs w:val="20"/>
                        <w:lang w:val="en-GB" w:eastAsia="en-US"/>
                      </w:rPr>
                      <m:t>1</m:t>
                    </m:r>
                  </m:sub>
                </m:sSub>
                <m:r>
                  <w:rPr>
                    <w:rFonts w:ascii="Cambria Math" w:hAnsi="Cambria Math" w:cs="Arial"/>
                    <w:sz w:val="20"/>
                    <w:szCs w:val="20"/>
                    <w:lang w:val="en-GB" w:eastAsia="en-US"/>
                  </w:rPr>
                  <m:t>=t×C×</m:t>
                </m:r>
                <m:f>
                  <m:fPr>
                    <m:ctrlPr>
                      <w:rPr>
                        <w:rFonts w:ascii="Cambria Math" w:hAnsi="Cambria Math" w:cs="Arial"/>
                        <w:i/>
                        <w:sz w:val="20"/>
                        <w:szCs w:val="20"/>
                        <w:lang w:val="en-GB" w:eastAsia="en-US"/>
                      </w:rPr>
                    </m:ctrlPr>
                  </m:fPr>
                  <m:num>
                    <m:sSup>
                      <m:sSupPr>
                        <m:ctrlPr>
                          <w:rPr>
                            <w:rFonts w:ascii="Cambria Math" w:hAnsi="Cambria Math" w:cs="Arial"/>
                            <w:i/>
                            <w:sz w:val="20"/>
                            <w:szCs w:val="20"/>
                            <w:lang w:val="en-GB" w:eastAsia="en-US"/>
                          </w:rPr>
                        </m:ctrlPr>
                      </m:sSupPr>
                      <m:e>
                        <m:r>
                          <w:rPr>
                            <w:rFonts w:ascii="Cambria Math" w:hAnsi="Cambria Math" w:cs="Arial"/>
                            <w:sz w:val="20"/>
                            <w:szCs w:val="20"/>
                            <w:lang w:val="en-GB" w:eastAsia="en-US"/>
                          </w:rPr>
                          <m:t>(1+i)</m:t>
                        </m:r>
                      </m:e>
                      <m:sup>
                        <m:r>
                          <w:rPr>
                            <w:rFonts w:ascii="Cambria Math" w:hAnsi="Cambria Math" w:cs="Arial"/>
                            <w:sz w:val="20"/>
                            <w:szCs w:val="20"/>
                            <w:lang w:val="en-GB" w:eastAsia="en-US"/>
                          </w:rPr>
                          <m:t>n</m:t>
                        </m:r>
                      </m:sup>
                    </m:sSup>
                    <m:r>
                      <w:rPr>
                        <w:rFonts w:ascii="Cambria Math" w:hAnsi="Cambria Math" w:cs="Arial"/>
                        <w:sz w:val="20"/>
                        <w:szCs w:val="20"/>
                        <w:lang w:val="en-GB" w:eastAsia="en-US"/>
                      </w:rPr>
                      <m:t>-1</m:t>
                    </m:r>
                  </m:num>
                  <m:den>
                    <m:r>
                      <w:rPr>
                        <w:rFonts w:ascii="Cambria Math" w:hAnsi="Cambria Math" w:cs="Arial"/>
                        <w:sz w:val="20"/>
                        <w:szCs w:val="20"/>
                        <w:lang w:val="en-GB" w:eastAsia="en-US"/>
                      </w:rPr>
                      <m:t>i×</m:t>
                    </m:r>
                    <m:sSup>
                      <m:sSupPr>
                        <m:ctrlPr>
                          <w:rPr>
                            <w:rFonts w:ascii="Cambria Math" w:hAnsi="Cambria Math" w:cs="Arial"/>
                            <w:i/>
                            <w:sz w:val="20"/>
                            <w:szCs w:val="20"/>
                            <w:lang w:val="en-GB" w:eastAsia="en-US"/>
                          </w:rPr>
                        </m:ctrlPr>
                      </m:sSupPr>
                      <m:e>
                        <m:r>
                          <w:rPr>
                            <w:rFonts w:ascii="Cambria Math" w:hAnsi="Cambria Math" w:cs="Arial"/>
                            <w:sz w:val="20"/>
                            <w:szCs w:val="20"/>
                            <w:lang w:val="en-GB" w:eastAsia="en-US"/>
                          </w:rPr>
                          <m:t>(1+i)</m:t>
                        </m:r>
                      </m:e>
                      <m:sup>
                        <m:r>
                          <w:rPr>
                            <w:rFonts w:ascii="Cambria Math" w:hAnsi="Cambria Math" w:cs="Arial"/>
                            <w:sz w:val="20"/>
                            <w:szCs w:val="20"/>
                            <w:lang w:val="en-GB" w:eastAsia="en-US"/>
                          </w:rPr>
                          <m:t>n</m:t>
                        </m:r>
                      </m:sup>
                    </m:sSup>
                  </m:den>
                </m:f>
              </m:oMath>
            </m:oMathPara>
          </w:p>
          <w:p w14:paraId="42E6AA37" w14:textId="77777777" w:rsidR="00125D3B" w:rsidRPr="00125D3B" w:rsidRDefault="00125D3B" w:rsidP="00125D3B">
            <w:pPr>
              <w:widowControl w:val="0"/>
              <w:autoSpaceDE w:val="0"/>
              <w:autoSpaceDN w:val="0"/>
              <w:ind w:left="461"/>
              <w:rPr>
                <w:rFonts w:ascii="Arial" w:eastAsia="Trebuchet MS" w:hAnsi="Arial" w:cs="Arial"/>
                <w:sz w:val="20"/>
                <w:szCs w:val="20"/>
                <w:lang w:val="en-GB"/>
              </w:rPr>
            </w:pPr>
            <w:r w:rsidRPr="00125D3B">
              <w:rPr>
                <w:rFonts w:ascii="Arial" w:eastAsia="Trebuchet MS" w:hAnsi="Arial" w:cs="Arial"/>
                <w:sz w:val="20"/>
                <w:szCs w:val="20"/>
                <w:lang w:val="en-GB"/>
              </w:rPr>
              <w:t>where:</w:t>
            </w:r>
          </w:p>
          <w:p w14:paraId="261CCB6F" w14:textId="77777777" w:rsidR="00125D3B" w:rsidRPr="00125D3B" w:rsidRDefault="00125D3B" w:rsidP="00125D3B">
            <w:pPr>
              <w:widowControl w:val="0"/>
              <w:autoSpaceDE w:val="0"/>
              <w:autoSpaceDN w:val="0"/>
              <w:spacing w:before="1"/>
              <w:ind w:left="461"/>
              <w:rPr>
                <w:rFonts w:ascii="Arial" w:eastAsia="Trebuchet MS" w:hAnsi="Arial" w:cs="Arial"/>
                <w:b/>
                <w:sz w:val="20"/>
                <w:szCs w:val="20"/>
                <w:lang w:val="en-GB"/>
              </w:rPr>
            </w:pPr>
            <w:r w:rsidRPr="00125D3B">
              <w:rPr>
                <w:rFonts w:ascii="Arial" w:eastAsia="Trebuchet MS" w:hAnsi="Arial" w:cs="Arial"/>
                <w:i/>
                <w:sz w:val="20"/>
                <w:szCs w:val="20"/>
                <w:lang w:val="en-GB"/>
              </w:rPr>
              <w:t xml:space="preserve">t </w:t>
            </w:r>
            <w:r w:rsidRPr="00125D3B">
              <w:rPr>
                <w:rFonts w:ascii="Arial" w:eastAsia="Trebuchet MS" w:hAnsi="Arial" w:cs="Arial"/>
                <w:sz w:val="20"/>
                <w:szCs w:val="20"/>
                <w:lang w:val="en-GB"/>
              </w:rPr>
              <w:t xml:space="preserve">- the operating time of the transformer in a year, in hours </w:t>
            </w:r>
            <w:r w:rsidRPr="00125D3B">
              <w:rPr>
                <w:rFonts w:ascii="Arial" w:eastAsia="Trebuchet MS" w:hAnsi="Arial" w:cs="Arial"/>
                <w:b/>
                <w:sz w:val="20"/>
                <w:szCs w:val="20"/>
                <w:lang w:val="en-GB"/>
              </w:rPr>
              <w:t>(8760)</w:t>
            </w:r>
          </w:p>
          <w:p w14:paraId="39B537CB" w14:textId="77777777" w:rsidR="00125D3B" w:rsidRPr="00125D3B" w:rsidRDefault="00125D3B" w:rsidP="00125D3B">
            <w:pPr>
              <w:widowControl w:val="0"/>
              <w:autoSpaceDE w:val="0"/>
              <w:autoSpaceDN w:val="0"/>
              <w:ind w:left="461"/>
              <w:rPr>
                <w:rFonts w:ascii="Arial" w:eastAsia="Trebuchet MS" w:hAnsi="Arial" w:cs="Arial"/>
                <w:sz w:val="20"/>
                <w:szCs w:val="20"/>
                <w:lang w:val="en-GB"/>
              </w:rPr>
            </w:pPr>
            <w:r w:rsidRPr="00125D3B">
              <w:rPr>
                <w:rFonts w:ascii="Arial" w:eastAsia="Trebuchet MS" w:hAnsi="Arial" w:cs="Arial"/>
                <w:i/>
                <w:sz w:val="20"/>
                <w:szCs w:val="20"/>
                <w:lang w:val="en-GB"/>
              </w:rPr>
              <w:t xml:space="preserve">C </w:t>
            </w:r>
            <w:r w:rsidRPr="00125D3B">
              <w:rPr>
                <w:rFonts w:ascii="Arial" w:eastAsia="Trebuchet MS" w:hAnsi="Arial" w:cs="Arial"/>
                <w:sz w:val="20"/>
                <w:szCs w:val="20"/>
                <w:lang w:val="en-GB"/>
              </w:rPr>
              <w:t xml:space="preserve">is the average price of electricity on the stock exchange for the previous year 1 kWh, in Euros </w:t>
            </w:r>
            <w:r w:rsidRPr="00125D3B">
              <w:rPr>
                <w:rFonts w:ascii="Arial" w:eastAsia="Trebuchet MS" w:hAnsi="Arial" w:cs="Arial"/>
                <w:b/>
                <w:sz w:val="20"/>
                <w:szCs w:val="20"/>
                <w:lang w:val="en-GB"/>
              </w:rPr>
              <w:t>(</w:t>
            </w:r>
            <w:r w:rsidRPr="00125D3B">
              <w:rPr>
                <w:rFonts w:ascii="Arial" w:eastAsia="Trebuchet MS" w:hAnsi="Arial" w:cs="Arial"/>
                <w:b/>
                <w:color w:val="001C37"/>
                <w:sz w:val="20"/>
                <w:szCs w:val="20"/>
                <w:lang w:val="en-GB"/>
              </w:rPr>
              <w:t>0.094</w:t>
            </w:r>
            <w:r w:rsidRPr="00125D3B">
              <w:rPr>
                <w:rFonts w:ascii="Arial" w:eastAsia="Trebuchet MS" w:hAnsi="Arial" w:cs="Arial"/>
                <w:color w:val="001C37"/>
                <w:sz w:val="20"/>
                <w:szCs w:val="20"/>
                <w:lang w:val="en-GB"/>
              </w:rPr>
              <w:t>)</w:t>
            </w:r>
          </w:p>
          <w:p w14:paraId="782A31BF" w14:textId="77777777" w:rsidR="00125D3B" w:rsidRPr="00125D3B" w:rsidRDefault="00125D3B" w:rsidP="00125D3B">
            <w:pPr>
              <w:spacing w:before="1" w:line="231" w:lineRule="exact"/>
              <w:ind w:left="461"/>
              <w:jc w:val="both"/>
              <w:rPr>
                <w:rFonts w:ascii="Arial" w:hAnsi="Arial" w:cs="Arial"/>
                <w:b/>
                <w:sz w:val="20"/>
                <w:szCs w:val="20"/>
                <w:lang w:val="en-GB" w:eastAsia="en-US"/>
              </w:rPr>
            </w:pPr>
            <w:r w:rsidRPr="00125D3B">
              <w:rPr>
                <w:rFonts w:ascii="Arial" w:hAnsi="Arial" w:cs="Arial"/>
                <w:i/>
                <w:sz w:val="20"/>
                <w:szCs w:val="20"/>
                <w:lang w:val="en-GB" w:eastAsia="en-US"/>
              </w:rPr>
              <w:t xml:space="preserve">I </w:t>
            </w:r>
            <w:r w:rsidRPr="00125D3B">
              <w:rPr>
                <w:rFonts w:ascii="Arial" w:hAnsi="Arial" w:cs="Arial"/>
                <w:sz w:val="20"/>
                <w:szCs w:val="20"/>
                <w:lang w:val="en-GB" w:eastAsia="en-US"/>
              </w:rPr>
              <w:t xml:space="preserve">- Discount rate norm, % </w:t>
            </w:r>
            <w:r w:rsidRPr="00125D3B">
              <w:rPr>
                <w:rFonts w:ascii="Arial" w:hAnsi="Arial" w:cs="Arial"/>
                <w:b/>
                <w:sz w:val="20"/>
                <w:szCs w:val="20"/>
                <w:lang w:val="en-GB" w:eastAsia="en-US"/>
              </w:rPr>
              <w:t>(0.0501)</w:t>
            </w:r>
          </w:p>
          <w:p w14:paraId="05C365C6" w14:textId="4D506644" w:rsidR="00125D3B" w:rsidRPr="00125D3B" w:rsidRDefault="00125D3B" w:rsidP="00125D3B">
            <w:pPr>
              <w:widowControl w:val="0"/>
              <w:autoSpaceDE w:val="0"/>
              <w:autoSpaceDN w:val="0"/>
              <w:ind w:left="461" w:right="121"/>
              <w:jc w:val="both"/>
              <w:rPr>
                <w:rFonts w:ascii="Arial" w:eastAsia="Trebuchet MS" w:hAnsi="Arial" w:cs="Arial"/>
                <w:sz w:val="20"/>
                <w:szCs w:val="20"/>
                <w:lang w:val="en-GB"/>
              </w:rPr>
            </w:pPr>
            <w:r w:rsidRPr="00125D3B">
              <w:rPr>
                <w:rFonts w:ascii="Arial" w:eastAsia="Trebuchet MS" w:hAnsi="Arial" w:cs="Arial"/>
                <w:i/>
                <w:sz w:val="20"/>
                <w:szCs w:val="20"/>
                <w:lang w:val="en-GB"/>
              </w:rPr>
              <w:t xml:space="preserve">n </w:t>
            </w:r>
            <w:r w:rsidRPr="00125D3B">
              <w:rPr>
                <w:rFonts w:ascii="Arial" w:eastAsia="Trebuchet MS" w:hAnsi="Arial" w:cs="Arial"/>
                <w:sz w:val="20"/>
                <w:szCs w:val="20"/>
                <w:lang w:val="en-GB"/>
              </w:rPr>
              <w:t xml:space="preserve">is the service life of the autotransformer, in years </w:t>
            </w:r>
            <w:r w:rsidRPr="00125D3B">
              <w:rPr>
                <w:rFonts w:ascii="Arial" w:eastAsia="Trebuchet MS" w:hAnsi="Arial" w:cs="Arial"/>
                <w:b/>
                <w:sz w:val="20"/>
                <w:szCs w:val="20"/>
                <w:lang w:val="en-GB"/>
              </w:rPr>
              <w:t>(35)</w:t>
            </w:r>
            <w:r w:rsidRPr="00125D3B">
              <w:rPr>
                <w:rFonts w:ascii="Arial" w:eastAsia="Trebuchet MS" w:hAnsi="Arial" w:cs="Arial"/>
                <w:sz w:val="20"/>
                <w:szCs w:val="20"/>
                <w:lang w:val="en-GB"/>
              </w:rPr>
              <w:t>. In order to compare with each other and make calculations to equal conditions,</w:t>
            </w:r>
            <w:r w:rsidRPr="00125D3B">
              <w:rPr>
                <w:rFonts w:ascii="Arial" w:eastAsia="Trebuchet MS" w:hAnsi="Arial" w:cs="Arial"/>
                <w:i/>
                <w:sz w:val="20"/>
                <w:szCs w:val="20"/>
                <w:lang w:val="en-GB"/>
              </w:rPr>
              <w:t xml:space="preserve"> </w:t>
            </w:r>
            <w:r w:rsidRPr="00125D3B">
              <w:rPr>
                <w:rFonts w:ascii="Arial" w:eastAsia="Trebuchet MS" w:hAnsi="Arial" w:cs="Arial"/>
                <w:sz w:val="20"/>
                <w:szCs w:val="20"/>
                <w:lang w:val="en-GB"/>
              </w:rPr>
              <w:t>the formula for calculating the coefficient k1 will use the same, the above-indicated service life of the unit will be used. The supplier may also offer a higher service life of the autotransformer but will still be rated as 35 years. The supplier may not offer a lower service life of the autotransformer than 35 years.</w:t>
            </w:r>
          </w:p>
          <w:p w14:paraId="34241A4C" w14:textId="77777777" w:rsidR="00125D3B" w:rsidRPr="00125D3B" w:rsidRDefault="00125D3B" w:rsidP="00125D3B">
            <w:pPr>
              <w:tabs>
                <w:tab w:val="left" w:pos="0"/>
                <w:tab w:val="left" w:pos="567"/>
              </w:tabs>
              <w:spacing w:before="60" w:after="60"/>
              <w:contextualSpacing/>
              <w:jc w:val="both"/>
              <w:rPr>
                <w:rFonts w:ascii="Arial" w:hAnsi="Arial" w:cs="Arial"/>
                <w:sz w:val="20"/>
                <w:szCs w:val="20"/>
                <w:lang w:val="en-GB" w:eastAsia="en-US"/>
              </w:rPr>
            </w:pPr>
          </w:p>
          <w:p w14:paraId="6811A661" w14:textId="41B8886F" w:rsidR="00125D3B" w:rsidRPr="00125D3B" w:rsidRDefault="00125D3B" w:rsidP="00125D3B">
            <w:pPr>
              <w:spacing w:before="65"/>
              <w:ind w:left="461"/>
              <w:rPr>
                <w:rFonts w:ascii="Arial" w:eastAsia="Cambria Math" w:hAnsi="Arial" w:cs="Arial"/>
                <w:sz w:val="20"/>
                <w:szCs w:val="20"/>
                <w:lang w:val="en-GB" w:eastAsia="en-US"/>
              </w:rPr>
            </w:pPr>
            <w:r w:rsidRPr="00125D3B">
              <w:rPr>
                <w:rFonts w:ascii="Cambria Math" w:eastAsia="Cambria Math" w:hAnsi="Cambria Math" w:cs="Cambria Math"/>
                <w:sz w:val="20"/>
                <w:szCs w:val="20"/>
                <w:lang w:val="en-GB" w:eastAsia="en-US"/>
              </w:rPr>
              <w:t xml:space="preserve">k2 </w:t>
            </w:r>
            <w:r w:rsidRPr="00125D3B">
              <w:rPr>
                <w:rFonts w:ascii="Arial" w:eastAsia="Cambria Math" w:hAnsi="Arial" w:cs="Arial"/>
                <w:sz w:val="20"/>
                <w:szCs w:val="20"/>
                <w:lang w:val="en-GB" w:eastAsia="en-US"/>
              </w:rPr>
              <w:t xml:space="preserve">= </w:t>
            </w:r>
            <w:r w:rsidR="003F32BC">
              <w:rPr>
                <w:rFonts w:ascii="Arial" w:eastAsia="Cambria Math" w:hAnsi="Arial" w:cs="Arial"/>
                <w:sz w:val="20"/>
                <w:szCs w:val="20"/>
                <w:lang w:val="en-GB" w:eastAsia="en-US"/>
              </w:rPr>
              <w:t>4848</w:t>
            </w:r>
          </w:p>
          <w:p w14:paraId="0828D01A" w14:textId="77777777" w:rsidR="00125D3B" w:rsidRPr="00125D3B" w:rsidRDefault="00125D3B" w:rsidP="00125D3B">
            <w:pPr>
              <w:tabs>
                <w:tab w:val="left" w:pos="0"/>
                <w:tab w:val="left" w:pos="567"/>
              </w:tabs>
              <w:spacing w:before="60" w:after="60"/>
              <w:contextualSpacing/>
              <w:jc w:val="both"/>
              <w:rPr>
                <w:rFonts w:ascii="Arial" w:hAnsi="Arial" w:cs="Arial"/>
                <w:sz w:val="20"/>
                <w:szCs w:val="20"/>
                <w:lang w:val="en-GB" w:eastAsia="en-US"/>
              </w:rPr>
            </w:pPr>
            <w:r w:rsidRPr="00125D3B">
              <w:rPr>
                <w:rFonts w:ascii="Arial" w:hAnsi="Arial" w:cs="Arial"/>
                <w:i/>
                <w:sz w:val="20"/>
                <w:szCs w:val="20"/>
                <w:lang w:val="en-GB" w:eastAsia="en-US"/>
              </w:rPr>
              <w:t>The formula for calculating</w:t>
            </w:r>
            <w:r w:rsidRPr="00125D3B">
              <w:rPr>
                <w:rFonts w:ascii="Arial" w:hAnsi="Arial" w:cs="Arial"/>
                <w:sz w:val="20"/>
                <w:szCs w:val="20"/>
                <w:lang w:val="en-GB" w:eastAsia="en-US"/>
              </w:rPr>
              <w:t xml:space="preserve"> k2:</w:t>
            </w:r>
          </w:p>
          <w:p w14:paraId="20C42866" w14:textId="77777777" w:rsidR="00125D3B" w:rsidRPr="00125D3B" w:rsidRDefault="00A44845" w:rsidP="00125D3B">
            <w:pPr>
              <w:tabs>
                <w:tab w:val="left" w:pos="0"/>
                <w:tab w:val="left" w:pos="567"/>
              </w:tabs>
              <w:spacing w:before="60" w:after="60"/>
              <w:contextualSpacing/>
              <w:jc w:val="both"/>
              <w:rPr>
                <w:rFonts w:ascii="Arial" w:hAnsi="Arial" w:cs="Arial"/>
                <w:sz w:val="20"/>
                <w:szCs w:val="20"/>
                <w:lang w:val="en-GB" w:eastAsia="en-US"/>
              </w:rPr>
            </w:pPr>
            <m:oMathPara>
              <m:oMath>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k</m:t>
                    </m:r>
                  </m:e>
                  <m:sub>
                    <m:r>
                      <w:rPr>
                        <w:rFonts w:ascii="Cambria Math" w:hAnsi="Cambria Math" w:cs="Arial"/>
                        <w:sz w:val="20"/>
                        <w:szCs w:val="20"/>
                        <w:lang w:val="en-GB" w:eastAsia="en-US"/>
                      </w:rPr>
                      <m:t>2</m:t>
                    </m:r>
                  </m:sub>
                </m:sSub>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k</m:t>
                    </m:r>
                  </m:e>
                  <m:sub>
                    <m:r>
                      <w:rPr>
                        <w:rFonts w:ascii="Cambria Math" w:hAnsi="Cambria Math" w:cs="Arial"/>
                        <w:sz w:val="20"/>
                        <w:szCs w:val="20"/>
                        <w:lang w:val="en-GB" w:eastAsia="en-US"/>
                      </w:rPr>
                      <m:t>1</m:t>
                    </m:r>
                  </m:sub>
                </m:sSub>
                <m:sSup>
                  <m:sSupPr>
                    <m:ctrlPr>
                      <w:rPr>
                        <w:rFonts w:ascii="Cambria Math" w:hAnsi="Cambria Math" w:cs="Arial"/>
                        <w:i/>
                        <w:sz w:val="20"/>
                        <w:szCs w:val="20"/>
                        <w:lang w:val="en-GB" w:eastAsia="en-US"/>
                      </w:rPr>
                    </m:ctrlPr>
                  </m:sSupPr>
                  <m:e>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k</m:t>
                        </m:r>
                      </m:e>
                      <m:sub>
                        <m:r>
                          <w:rPr>
                            <w:rFonts w:ascii="Cambria Math" w:hAnsi="Cambria Math" w:cs="Arial"/>
                            <w:sz w:val="20"/>
                            <w:szCs w:val="20"/>
                            <w:lang w:val="en-GB" w:eastAsia="en-US"/>
                          </w:rPr>
                          <m:t>apkt</m:t>
                        </m:r>
                      </m:sub>
                    </m:sSub>
                    <m:r>
                      <w:rPr>
                        <w:rFonts w:ascii="Cambria Math" w:hAnsi="Cambria Math" w:cs="Arial"/>
                        <w:sz w:val="20"/>
                        <w:szCs w:val="20"/>
                        <w:lang w:val="en-GB" w:eastAsia="en-US"/>
                      </w:rPr>
                      <m:t>)</m:t>
                    </m:r>
                  </m:e>
                  <m:sup>
                    <m:r>
                      <w:rPr>
                        <w:rFonts w:ascii="Cambria Math" w:hAnsi="Cambria Math" w:cs="Arial"/>
                        <w:sz w:val="20"/>
                        <w:szCs w:val="20"/>
                        <w:lang w:val="en-GB" w:eastAsia="en-US"/>
                      </w:rPr>
                      <m:t>2</m:t>
                    </m:r>
                  </m:sup>
                </m:sSup>
              </m:oMath>
            </m:oMathPara>
          </w:p>
          <w:p w14:paraId="204E9850" w14:textId="77777777" w:rsidR="00125D3B" w:rsidRPr="00125D3B" w:rsidRDefault="00125D3B" w:rsidP="00125D3B">
            <w:pPr>
              <w:widowControl w:val="0"/>
              <w:autoSpaceDE w:val="0"/>
              <w:autoSpaceDN w:val="0"/>
              <w:spacing w:before="100"/>
              <w:ind w:left="461"/>
              <w:rPr>
                <w:rFonts w:ascii="Arial" w:eastAsia="Trebuchet MS" w:hAnsi="Arial" w:cs="Arial"/>
                <w:sz w:val="20"/>
                <w:szCs w:val="20"/>
                <w:lang w:val="en-GB"/>
              </w:rPr>
            </w:pPr>
            <w:r w:rsidRPr="00125D3B">
              <w:rPr>
                <w:rFonts w:ascii="Arial" w:eastAsia="Trebuchet MS" w:hAnsi="Arial" w:cs="Arial"/>
                <w:sz w:val="20"/>
                <w:szCs w:val="20"/>
                <w:lang w:val="en-GB"/>
              </w:rPr>
              <w:t>where:</w:t>
            </w:r>
          </w:p>
          <w:p w14:paraId="023604F1" w14:textId="77777777" w:rsidR="00125D3B" w:rsidRPr="00125D3B" w:rsidRDefault="00125D3B" w:rsidP="00125D3B">
            <w:pPr>
              <w:widowControl w:val="0"/>
              <w:autoSpaceDE w:val="0"/>
              <w:autoSpaceDN w:val="0"/>
              <w:ind w:left="461"/>
              <w:rPr>
                <w:rFonts w:ascii="Arial" w:eastAsia="Trebuchet MS" w:hAnsi="Arial" w:cs="Arial"/>
                <w:sz w:val="20"/>
                <w:szCs w:val="20"/>
                <w:lang w:val="en-GB"/>
              </w:rPr>
            </w:pPr>
            <w:proofErr w:type="spellStart"/>
            <w:r w:rsidRPr="00125D3B">
              <w:rPr>
                <w:rFonts w:ascii="Arial" w:eastAsia="Trebuchet MS" w:hAnsi="Arial" w:cs="Arial"/>
                <w:i/>
                <w:sz w:val="20"/>
                <w:szCs w:val="20"/>
                <w:lang w:val="en-GB"/>
              </w:rPr>
              <w:t>kapkr</w:t>
            </w:r>
            <w:proofErr w:type="spellEnd"/>
            <w:r w:rsidRPr="00125D3B">
              <w:rPr>
                <w:rFonts w:ascii="Arial" w:eastAsia="Trebuchet MS" w:hAnsi="Arial" w:cs="Arial"/>
                <w:i/>
                <w:sz w:val="20"/>
                <w:szCs w:val="20"/>
                <w:vertAlign w:val="subscript"/>
                <w:lang w:val="en-GB"/>
              </w:rPr>
              <w:t>.</w:t>
            </w:r>
            <w:r w:rsidRPr="00125D3B">
              <w:rPr>
                <w:rFonts w:ascii="Arial" w:eastAsia="Trebuchet MS" w:hAnsi="Arial" w:cs="Arial"/>
                <w:i/>
                <w:sz w:val="20"/>
                <w:szCs w:val="20"/>
                <w:lang w:val="en-GB"/>
              </w:rPr>
              <w:t xml:space="preserve"> - </w:t>
            </w:r>
            <w:r w:rsidRPr="00125D3B">
              <w:rPr>
                <w:rFonts w:ascii="Arial" w:eastAsia="Trebuchet MS" w:hAnsi="Arial" w:cs="Arial"/>
                <w:sz w:val="20"/>
                <w:szCs w:val="20"/>
                <w:lang w:val="en-GB"/>
              </w:rPr>
              <w:t>average load over the lifetime, % (</w:t>
            </w:r>
            <w:r w:rsidRPr="00125D3B">
              <w:rPr>
                <w:rFonts w:ascii="Arial" w:eastAsia="Trebuchet MS" w:hAnsi="Arial" w:cs="Arial"/>
                <w:b/>
                <w:sz w:val="20"/>
                <w:szCs w:val="20"/>
                <w:lang w:val="en-GB"/>
              </w:rPr>
              <w:t>0,6</w:t>
            </w:r>
            <w:r w:rsidRPr="00125D3B">
              <w:rPr>
                <w:rFonts w:ascii="Arial" w:eastAsia="Trebuchet MS" w:hAnsi="Arial" w:cs="Arial"/>
                <w:sz w:val="20"/>
                <w:szCs w:val="20"/>
                <w:lang w:val="en-GB"/>
              </w:rPr>
              <w:t>)</w:t>
            </w:r>
          </w:p>
          <w:p w14:paraId="232718C2" w14:textId="49A60CF5" w:rsidR="00125D3B" w:rsidRPr="00125D3B" w:rsidRDefault="00125D3B" w:rsidP="00125D3B">
            <w:pPr>
              <w:jc w:val="both"/>
              <w:rPr>
                <w:rFonts w:ascii="Arial" w:hAnsi="Arial" w:cs="Arial"/>
                <w:iCs/>
                <w:sz w:val="20"/>
                <w:szCs w:val="20"/>
                <w:lang w:val="en-GB"/>
              </w:rPr>
            </w:pPr>
          </w:p>
        </w:tc>
        <w:tc>
          <w:tcPr>
            <w:tcW w:w="1883" w:type="dxa"/>
            <w:tcBorders>
              <w:top w:val="single" w:sz="4" w:space="0" w:color="auto"/>
              <w:left w:val="single" w:sz="4" w:space="0" w:color="auto"/>
              <w:bottom w:val="single" w:sz="4" w:space="0" w:color="auto"/>
              <w:right w:val="single" w:sz="4" w:space="0" w:color="auto"/>
            </w:tcBorders>
            <w:vAlign w:val="center"/>
          </w:tcPr>
          <w:p w14:paraId="3A1757C7" w14:textId="266D03BE" w:rsidR="00125D3B" w:rsidRPr="00FB43BC" w:rsidRDefault="00125D3B" w:rsidP="00125D3B">
            <w:pPr>
              <w:pStyle w:val="TableParagraph"/>
              <w:ind w:left="295" w:right="288" w:hanging="2"/>
              <w:rPr>
                <w:rFonts w:ascii="Arial" w:hAnsi="Arial" w:cs="Arial"/>
                <w:sz w:val="20"/>
                <w:szCs w:val="20"/>
                <w:lang w:val="en-GB"/>
              </w:rPr>
            </w:pPr>
            <w:r w:rsidRPr="00FB43BC">
              <w:rPr>
                <w:rFonts w:ascii="Arial" w:hAnsi="Arial" w:cs="Arial"/>
                <w:sz w:val="20"/>
                <w:szCs w:val="20"/>
                <w:lang w:val="en-GB"/>
              </w:rPr>
              <w:lastRenderedPageBreak/>
              <w:t xml:space="preserve">Annex 1 to the </w:t>
            </w:r>
            <w:r>
              <w:rPr>
                <w:rFonts w:ascii="Arial" w:hAnsi="Arial" w:cs="Arial"/>
                <w:sz w:val="20"/>
                <w:szCs w:val="20"/>
                <w:lang w:val="en-GB"/>
              </w:rPr>
              <w:t xml:space="preserve">Tender </w:t>
            </w:r>
            <w:r w:rsidRPr="00FB43BC">
              <w:rPr>
                <w:rFonts w:ascii="Arial" w:hAnsi="Arial" w:cs="Arial"/>
                <w:sz w:val="20"/>
                <w:szCs w:val="20"/>
                <w:lang w:val="en-GB"/>
              </w:rPr>
              <w:t>form - Proposed parameters (form</w:t>
            </w:r>
            <w:r>
              <w:rPr>
                <w:rFonts w:ascii="Arial" w:hAnsi="Arial" w:cs="Arial"/>
                <w:sz w:val="20"/>
                <w:szCs w:val="20"/>
                <w:lang w:val="en-GB"/>
              </w:rPr>
              <w:t xml:space="preserve"> to fill in</w:t>
            </w:r>
            <w:r w:rsidRPr="00FB43BC">
              <w:rPr>
                <w:rFonts w:ascii="Arial" w:hAnsi="Arial" w:cs="Arial"/>
                <w:sz w:val="20"/>
                <w:szCs w:val="20"/>
                <w:lang w:val="en-GB"/>
              </w:rPr>
              <w:t>) and th</w:t>
            </w:r>
            <w:r>
              <w:rPr>
                <w:rFonts w:ascii="Arial" w:hAnsi="Arial" w:cs="Arial"/>
                <w:sz w:val="20"/>
                <w:szCs w:val="20"/>
                <w:lang w:val="en-GB"/>
              </w:rPr>
              <w:t>e</w:t>
            </w:r>
          </w:p>
          <w:p w14:paraId="4668B5E8" w14:textId="49178598" w:rsidR="00125D3B" w:rsidRPr="00FB43BC" w:rsidRDefault="00125D3B" w:rsidP="00125D3B">
            <w:pPr>
              <w:jc w:val="center"/>
              <w:rPr>
                <w:rFonts w:ascii="Arial" w:hAnsi="Arial" w:cs="Arial"/>
                <w:sz w:val="20"/>
                <w:szCs w:val="20"/>
                <w:lang w:val="en-GB"/>
              </w:rPr>
            </w:pPr>
            <w:r>
              <w:rPr>
                <w:rFonts w:ascii="Arial" w:hAnsi="Arial" w:cs="Arial"/>
                <w:sz w:val="20"/>
                <w:szCs w:val="20"/>
                <w:lang w:val="en-GB"/>
              </w:rPr>
              <w:t>D</w:t>
            </w:r>
            <w:r w:rsidRPr="00FB43BC">
              <w:rPr>
                <w:rFonts w:ascii="Arial" w:hAnsi="Arial" w:cs="Arial"/>
                <w:sz w:val="20"/>
                <w:szCs w:val="20"/>
                <w:lang w:val="en-GB"/>
              </w:rPr>
              <w:t>ocuments</w:t>
            </w:r>
            <w:r>
              <w:rPr>
                <w:rFonts w:ascii="Arial" w:hAnsi="Arial" w:cs="Arial"/>
                <w:sz w:val="20"/>
                <w:szCs w:val="20"/>
                <w:lang w:val="en-GB"/>
              </w:rPr>
              <w:t xml:space="preserve"> substantiating them</w:t>
            </w:r>
          </w:p>
          <w:p w14:paraId="1D8EFF1B" w14:textId="77777777" w:rsidR="00125D3B" w:rsidRPr="00FB43BC" w:rsidRDefault="00125D3B" w:rsidP="00125D3B">
            <w:pPr>
              <w:jc w:val="center"/>
              <w:rPr>
                <w:rFonts w:ascii="Arial" w:hAnsi="Arial" w:cs="Arial"/>
                <w:b/>
                <w:bCs/>
                <w:iCs/>
                <w:sz w:val="20"/>
                <w:szCs w:val="20"/>
                <w:lang w:val="en-GB"/>
              </w:rPr>
            </w:pPr>
          </w:p>
        </w:tc>
      </w:tr>
      <w:tr w:rsidR="00125D3B" w14:paraId="02F3028D" w14:textId="77777777" w:rsidTr="00DA5F6D">
        <w:tc>
          <w:tcPr>
            <w:tcW w:w="445" w:type="dxa"/>
            <w:tcBorders>
              <w:top w:val="single" w:sz="4" w:space="0" w:color="auto"/>
              <w:left w:val="single" w:sz="4" w:space="0" w:color="auto"/>
              <w:bottom w:val="single" w:sz="4" w:space="0" w:color="auto"/>
              <w:right w:val="single" w:sz="4" w:space="0" w:color="auto"/>
            </w:tcBorders>
            <w:vAlign w:val="center"/>
          </w:tcPr>
          <w:p w14:paraId="7B74F9BF" w14:textId="5908ADC3" w:rsidR="00125D3B" w:rsidRPr="00D1752E" w:rsidRDefault="00125D3B" w:rsidP="00125D3B">
            <w:pPr>
              <w:jc w:val="both"/>
              <w:rPr>
                <w:rFonts w:ascii="Arial" w:hAnsi="Arial" w:cs="Arial"/>
                <w:sz w:val="20"/>
                <w:szCs w:val="20"/>
              </w:rPr>
            </w:pPr>
            <w:r>
              <w:rPr>
                <w:rFonts w:ascii="Arial" w:hAnsi="Arial" w:cs="Arial"/>
                <w:sz w:val="20"/>
                <w:szCs w:val="20"/>
              </w:rPr>
              <w:lastRenderedPageBreak/>
              <w:t>4.</w:t>
            </w:r>
          </w:p>
        </w:tc>
        <w:tc>
          <w:tcPr>
            <w:tcW w:w="7663" w:type="dxa"/>
            <w:gridSpan w:val="2"/>
            <w:tcBorders>
              <w:top w:val="single" w:sz="4" w:space="0" w:color="auto"/>
              <w:left w:val="single" w:sz="4" w:space="0" w:color="auto"/>
              <w:bottom w:val="single" w:sz="4" w:space="0" w:color="auto"/>
              <w:right w:val="single" w:sz="4" w:space="0" w:color="auto"/>
            </w:tcBorders>
            <w:vAlign w:val="center"/>
          </w:tcPr>
          <w:p w14:paraId="434CC405" w14:textId="77777777" w:rsidR="00125D3B" w:rsidRPr="00E8313C" w:rsidRDefault="00125D3B" w:rsidP="00125D3B">
            <w:pPr>
              <w:pStyle w:val="Default"/>
              <w:jc w:val="both"/>
              <w:rPr>
                <w:sz w:val="20"/>
                <w:szCs w:val="20"/>
              </w:rPr>
            </w:pPr>
            <w:r w:rsidRPr="00E8313C">
              <w:rPr>
                <w:b/>
                <w:bCs/>
                <w:sz w:val="20"/>
                <w:szCs w:val="20"/>
              </w:rPr>
              <w:t>Pasiūlymo ekonominis naudingumas (</w:t>
            </w:r>
            <w:proofErr w:type="spellStart"/>
            <w:r w:rsidRPr="00E8313C">
              <w:rPr>
                <w:b/>
                <w:bCs/>
                <w:sz w:val="20"/>
                <w:szCs w:val="20"/>
              </w:rPr>
              <w:t>En</w:t>
            </w:r>
            <w:proofErr w:type="spellEnd"/>
            <w:r w:rsidRPr="00E8313C">
              <w:rPr>
                <w:b/>
                <w:bCs/>
                <w:sz w:val="20"/>
                <w:szCs w:val="20"/>
              </w:rPr>
              <w:t>)</w:t>
            </w:r>
            <w:r w:rsidRPr="00E8313C">
              <w:rPr>
                <w:sz w:val="20"/>
                <w:szCs w:val="20"/>
              </w:rPr>
              <w:t xml:space="preserve"> eurais apskaičiuojamas pagal formulę: </w:t>
            </w:r>
          </w:p>
          <w:p w14:paraId="7308CE2D" w14:textId="77777777" w:rsidR="00125D3B" w:rsidRPr="00E8313C" w:rsidRDefault="00125D3B" w:rsidP="00125D3B">
            <w:pPr>
              <w:pStyle w:val="Default"/>
              <w:ind w:left="720"/>
              <w:jc w:val="both"/>
              <w:rPr>
                <w:sz w:val="20"/>
                <w:szCs w:val="20"/>
              </w:rPr>
            </w:pPr>
          </w:p>
          <w:p w14:paraId="33DA96CD" w14:textId="483B508C" w:rsidR="00125D3B" w:rsidRPr="00E8313C" w:rsidRDefault="00125D3B" w:rsidP="00125D3B">
            <w:pPr>
              <w:pStyle w:val="Default"/>
              <w:jc w:val="both"/>
              <w:rPr>
                <w:b/>
                <w:bCs/>
                <w:sz w:val="20"/>
                <w:szCs w:val="20"/>
              </w:rPr>
            </w:pPr>
            <w:proofErr w:type="spellStart"/>
            <w:r w:rsidRPr="00E8313C">
              <w:rPr>
                <w:b/>
                <w:bCs/>
                <w:sz w:val="20"/>
                <w:szCs w:val="20"/>
              </w:rPr>
              <w:t>En</w:t>
            </w:r>
            <w:proofErr w:type="spellEnd"/>
            <w:r w:rsidRPr="00E8313C">
              <w:rPr>
                <w:b/>
                <w:bCs/>
                <w:sz w:val="20"/>
                <w:szCs w:val="20"/>
              </w:rPr>
              <w:t xml:space="preserve"> = C + P </w:t>
            </w:r>
          </w:p>
          <w:p w14:paraId="0848D8A8" w14:textId="54DD1FEE" w:rsidR="00125D3B" w:rsidRPr="00E8313C" w:rsidRDefault="00125D3B" w:rsidP="00125D3B">
            <w:pPr>
              <w:jc w:val="both"/>
              <w:rPr>
                <w:rFonts w:ascii="Arial" w:hAnsi="Arial" w:cs="Arial"/>
                <w:sz w:val="20"/>
                <w:szCs w:val="20"/>
              </w:rPr>
            </w:pPr>
            <w:r w:rsidRPr="00E8313C">
              <w:rPr>
                <w:rFonts w:ascii="Arial" w:hAnsi="Arial" w:cs="Arial"/>
                <w:sz w:val="20"/>
                <w:szCs w:val="20"/>
              </w:rPr>
              <w:t xml:space="preserve">Ekonomiškai naudingiausiu pasiūlymu laikomas tas pasiūlymas, kurio </w:t>
            </w:r>
            <w:proofErr w:type="spellStart"/>
            <w:r w:rsidRPr="00E8313C">
              <w:rPr>
                <w:rFonts w:ascii="Arial" w:hAnsi="Arial" w:cs="Arial"/>
                <w:sz w:val="20"/>
                <w:szCs w:val="20"/>
              </w:rPr>
              <w:t>En</w:t>
            </w:r>
            <w:proofErr w:type="spellEnd"/>
            <w:r w:rsidRPr="00E8313C">
              <w:rPr>
                <w:rFonts w:ascii="Arial" w:hAnsi="Arial" w:cs="Arial"/>
                <w:sz w:val="20"/>
                <w:szCs w:val="20"/>
              </w:rPr>
              <w:t xml:space="preserve"> reikšmė eurais </w:t>
            </w:r>
            <w:r w:rsidRPr="00E8313C">
              <w:rPr>
                <w:rFonts w:ascii="Arial" w:hAnsi="Arial" w:cs="Arial"/>
                <w:b/>
                <w:bCs/>
                <w:sz w:val="20"/>
                <w:szCs w:val="20"/>
              </w:rPr>
              <w:t>yra mažiausia</w:t>
            </w:r>
            <w:r w:rsidRPr="00E8313C">
              <w:rPr>
                <w:rFonts w:ascii="Arial" w:hAnsi="Arial" w:cs="Arial"/>
                <w:sz w:val="20"/>
                <w:szCs w:val="20"/>
              </w:rPr>
              <w:t xml:space="preserve">. Piniginė vertė bus skaičiuojama dviejų skaitmenų po kablelio tikslumu. </w:t>
            </w:r>
          </w:p>
        </w:tc>
        <w:tc>
          <w:tcPr>
            <w:tcW w:w="7555" w:type="dxa"/>
            <w:gridSpan w:val="2"/>
          </w:tcPr>
          <w:p w14:paraId="2A3D2D0A" w14:textId="3BF9941B" w:rsidR="00B07CE5" w:rsidRDefault="00B07CE5" w:rsidP="00B07CE5">
            <w:pPr>
              <w:jc w:val="both"/>
              <w:rPr>
                <w:rFonts w:ascii="Arial" w:hAnsi="Arial" w:cs="Arial"/>
                <w:iCs/>
                <w:sz w:val="20"/>
                <w:szCs w:val="20"/>
                <w:lang w:val="en-GB"/>
              </w:rPr>
            </w:pPr>
            <w:r w:rsidRPr="00B07CE5">
              <w:rPr>
                <w:rFonts w:ascii="Arial" w:hAnsi="Arial" w:cs="Arial"/>
                <w:b/>
                <w:bCs/>
                <w:iCs/>
                <w:sz w:val="20"/>
                <w:szCs w:val="20"/>
                <w:lang w:val="en-GB"/>
              </w:rPr>
              <w:t>The economic efficiency of the tender (E</w:t>
            </w:r>
            <w:r>
              <w:rPr>
                <w:rFonts w:ascii="Arial" w:hAnsi="Arial" w:cs="Arial"/>
                <w:b/>
                <w:bCs/>
                <w:iCs/>
                <w:sz w:val="20"/>
                <w:szCs w:val="20"/>
                <w:lang w:val="en-GB"/>
              </w:rPr>
              <w:t>n</w:t>
            </w:r>
            <w:r w:rsidRPr="00B07CE5">
              <w:rPr>
                <w:rFonts w:ascii="Arial" w:hAnsi="Arial" w:cs="Arial"/>
                <w:b/>
                <w:bCs/>
                <w:iCs/>
                <w:sz w:val="20"/>
                <w:szCs w:val="20"/>
                <w:lang w:val="en-GB"/>
              </w:rPr>
              <w:t>) i</w:t>
            </w:r>
            <w:r w:rsidRPr="00B07CE5">
              <w:rPr>
                <w:rFonts w:ascii="Arial" w:hAnsi="Arial" w:cs="Arial"/>
                <w:iCs/>
                <w:sz w:val="20"/>
                <w:szCs w:val="20"/>
                <w:lang w:val="en-GB"/>
              </w:rPr>
              <w:t>s calculated according to the formula:</w:t>
            </w:r>
          </w:p>
          <w:p w14:paraId="47D51185" w14:textId="77777777" w:rsidR="00B07CE5" w:rsidRPr="00B07CE5" w:rsidRDefault="00B07CE5" w:rsidP="00B07CE5">
            <w:pPr>
              <w:jc w:val="both"/>
              <w:rPr>
                <w:rFonts w:ascii="Arial" w:hAnsi="Arial" w:cs="Arial"/>
                <w:iCs/>
                <w:sz w:val="20"/>
                <w:szCs w:val="20"/>
                <w:lang w:val="en-GB"/>
              </w:rPr>
            </w:pPr>
          </w:p>
          <w:p w14:paraId="07F58F1C" w14:textId="19F5AE38" w:rsidR="00B07CE5" w:rsidRDefault="00B07CE5" w:rsidP="00B07CE5">
            <w:pPr>
              <w:jc w:val="both"/>
              <w:rPr>
                <w:rFonts w:ascii="Arial" w:hAnsi="Arial" w:cs="Arial"/>
                <w:b/>
                <w:bCs/>
                <w:iCs/>
                <w:sz w:val="20"/>
                <w:szCs w:val="20"/>
                <w:lang w:val="en-GB"/>
              </w:rPr>
            </w:pPr>
            <w:r w:rsidRPr="00B07CE5">
              <w:rPr>
                <w:rFonts w:ascii="Arial" w:hAnsi="Arial" w:cs="Arial"/>
                <w:b/>
                <w:bCs/>
                <w:iCs/>
                <w:sz w:val="20"/>
                <w:szCs w:val="20"/>
                <w:lang w:val="en-GB"/>
              </w:rPr>
              <w:t>E</w:t>
            </w:r>
            <w:r>
              <w:rPr>
                <w:rFonts w:ascii="Arial" w:hAnsi="Arial" w:cs="Arial"/>
                <w:b/>
                <w:bCs/>
                <w:iCs/>
                <w:sz w:val="20"/>
                <w:szCs w:val="20"/>
                <w:lang w:val="en-GB"/>
              </w:rPr>
              <w:t>n</w:t>
            </w:r>
            <w:r w:rsidRPr="00B07CE5">
              <w:rPr>
                <w:rFonts w:ascii="Arial" w:hAnsi="Arial" w:cs="Arial"/>
                <w:b/>
                <w:bCs/>
                <w:iCs/>
                <w:sz w:val="20"/>
                <w:szCs w:val="20"/>
                <w:lang w:val="en-GB"/>
              </w:rPr>
              <w:t xml:space="preserve"> = </w:t>
            </w:r>
            <w:r>
              <w:rPr>
                <w:rFonts w:ascii="Arial" w:hAnsi="Arial" w:cs="Arial"/>
                <w:b/>
                <w:bCs/>
                <w:iCs/>
                <w:sz w:val="20"/>
                <w:szCs w:val="20"/>
                <w:lang w:val="en-GB"/>
              </w:rPr>
              <w:t>C + P</w:t>
            </w:r>
            <w:r w:rsidRPr="00B07CE5">
              <w:rPr>
                <w:rFonts w:ascii="Arial" w:hAnsi="Arial" w:cs="Arial"/>
                <w:b/>
                <w:bCs/>
                <w:iCs/>
                <w:sz w:val="20"/>
                <w:szCs w:val="20"/>
                <w:lang w:val="en-GB"/>
              </w:rPr>
              <w:t xml:space="preserve"> </w:t>
            </w:r>
          </w:p>
          <w:p w14:paraId="0AEB60F3" w14:textId="421EDB62" w:rsidR="00125D3B" w:rsidRPr="00B07CE5" w:rsidRDefault="00B07CE5" w:rsidP="00B07CE5">
            <w:pPr>
              <w:jc w:val="both"/>
              <w:rPr>
                <w:rFonts w:ascii="Arial" w:hAnsi="Arial" w:cs="Arial"/>
                <w:iCs/>
                <w:sz w:val="20"/>
                <w:szCs w:val="20"/>
                <w:lang w:val="en-GB"/>
              </w:rPr>
            </w:pPr>
            <w:r w:rsidRPr="00B07CE5">
              <w:rPr>
                <w:rFonts w:ascii="Arial" w:hAnsi="Arial" w:cs="Arial"/>
                <w:iCs/>
                <w:sz w:val="20"/>
                <w:szCs w:val="20"/>
                <w:lang w:val="en-GB"/>
              </w:rPr>
              <w:t xml:space="preserve">The most economically advantageous tender is considered to be the tender with the </w:t>
            </w:r>
            <w:r w:rsidRPr="00B07CE5">
              <w:rPr>
                <w:rFonts w:ascii="Arial" w:hAnsi="Arial" w:cs="Arial"/>
                <w:b/>
                <w:bCs/>
                <w:iCs/>
                <w:sz w:val="20"/>
                <w:szCs w:val="20"/>
                <w:lang w:val="en-GB"/>
              </w:rPr>
              <w:t>lowest E</w:t>
            </w:r>
            <w:r w:rsidR="006F1E61">
              <w:rPr>
                <w:rFonts w:ascii="Arial" w:hAnsi="Arial" w:cs="Arial"/>
                <w:b/>
                <w:bCs/>
                <w:iCs/>
                <w:sz w:val="20"/>
                <w:szCs w:val="20"/>
                <w:lang w:val="en-GB"/>
              </w:rPr>
              <w:t>n</w:t>
            </w:r>
            <w:r w:rsidRPr="00B07CE5">
              <w:rPr>
                <w:rFonts w:ascii="Arial" w:hAnsi="Arial" w:cs="Arial"/>
                <w:b/>
                <w:bCs/>
                <w:iCs/>
                <w:sz w:val="20"/>
                <w:szCs w:val="20"/>
                <w:lang w:val="en-GB"/>
              </w:rPr>
              <w:t xml:space="preserve"> value</w:t>
            </w:r>
            <w:r w:rsidRPr="00B07CE5">
              <w:rPr>
                <w:rFonts w:ascii="Arial" w:hAnsi="Arial" w:cs="Arial"/>
                <w:iCs/>
                <w:sz w:val="20"/>
                <w:szCs w:val="20"/>
                <w:lang w:val="en-GB"/>
              </w:rPr>
              <w:t>. The monetary value will be calculated to two decimal places.</w:t>
            </w:r>
          </w:p>
        </w:tc>
      </w:tr>
    </w:tbl>
    <w:p w14:paraId="25A31A51" w14:textId="77777777" w:rsidR="00A1359E" w:rsidRDefault="00A1359E" w:rsidP="007C3D8C">
      <w:pPr>
        <w:jc w:val="right"/>
        <w:rPr>
          <w:rFonts w:ascii="Arial" w:hAnsi="Arial" w:cs="Arial"/>
          <w:i/>
          <w:sz w:val="16"/>
          <w:szCs w:val="16"/>
          <w:lang w:val="en-US"/>
        </w:rPr>
      </w:pPr>
    </w:p>
    <w:p w14:paraId="00273106" w14:textId="77777777" w:rsidR="00722195" w:rsidRPr="00722195" w:rsidRDefault="00722195" w:rsidP="00722195">
      <w:pPr>
        <w:rPr>
          <w:rFonts w:ascii="Arial" w:hAnsi="Arial" w:cs="Arial"/>
          <w:iCs/>
          <w:color w:val="44546A" w:themeColor="text2"/>
          <w:sz w:val="16"/>
          <w:szCs w:val="16"/>
          <w:lang w:val="en-US"/>
        </w:rPr>
      </w:pPr>
    </w:p>
    <w:bookmarkEnd w:id="0"/>
    <w:p w14:paraId="38319B7F" w14:textId="391FF4E1" w:rsidR="00722195" w:rsidRPr="00722195" w:rsidRDefault="00722195" w:rsidP="00722195">
      <w:pPr>
        <w:rPr>
          <w:rFonts w:ascii="Arial" w:hAnsi="Arial" w:cs="Arial"/>
          <w:iCs/>
          <w:sz w:val="16"/>
          <w:szCs w:val="16"/>
          <w:lang w:val="en-US"/>
        </w:rPr>
      </w:pPr>
    </w:p>
    <w:sectPr w:rsidR="00722195" w:rsidRPr="00722195" w:rsidSect="00B0136A">
      <w:footerReference w:type="default" r:id="rId11"/>
      <w:headerReference w:type="first" r:id="rId12"/>
      <w:footerReference w:type="first" r:id="rId13"/>
      <w:pgSz w:w="16838" w:h="11906" w:orient="landscape" w:code="9"/>
      <w:pgMar w:top="720" w:right="445" w:bottom="720" w:left="720" w:header="86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32174" w14:textId="77777777" w:rsidR="00F01858" w:rsidRDefault="00F01858" w:rsidP="007C3D8C">
      <w:r>
        <w:separator/>
      </w:r>
    </w:p>
  </w:endnote>
  <w:endnote w:type="continuationSeparator" w:id="0">
    <w:p w14:paraId="2AC600E8" w14:textId="77777777" w:rsidR="00F01858" w:rsidRDefault="00F01858" w:rsidP="007C3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6A8FA" w14:textId="77777777" w:rsidR="00964D38" w:rsidRDefault="00964D38">
    <w:pPr>
      <w:pStyle w:val="Footer"/>
      <w:jc w:val="center"/>
    </w:pPr>
  </w:p>
  <w:p w14:paraId="452D6373" w14:textId="77777777" w:rsidR="00964D38" w:rsidRPr="004A16D7" w:rsidRDefault="00A44845">
    <w:pPr>
      <w:pStyle w:val="Footer"/>
      <w:jc w:val="center"/>
      <w:rPr>
        <w:rFonts w:ascii="Arial" w:hAnsi="Arial" w:cs="Arial"/>
        <w:sz w:val="20"/>
        <w:szCs w:val="20"/>
      </w:rPr>
    </w:pPr>
    <w:sdt>
      <w:sdtPr>
        <w:rPr>
          <w:rFonts w:ascii="Arial" w:hAnsi="Arial" w:cs="Arial"/>
          <w:sz w:val="20"/>
          <w:szCs w:val="20"/>
        </w:rPr>
        <w:id w:val="794641678"/>
        <w:docPartObj>
          <w:docPartGallery w:val="Page Numbers (Bottom of Page)"/>
          <w:docPartUnique/>
        </w:docPartObj>
      </w:sdtPr>
      <w:sdtEndPr>
        <w:rPr>
          <w:noProof/>
        </w:rPr>
      </w:sdtEndPr>
      <w:sdtContent>
        <w:r w:rsidR="00964D38" w:rsidRPr="004A16D7">
          <w:rPr>
            <w:rFonts w:ascii="Arial" w:hAnsi="Arial" w:cs="Arial"/>
            <w:sz w:val="20"/>
            <w:szCs w:val="20"/>
          </w:rPr>
          <w:fldChar w:fldCharType="begin"/>
        </w:r>
        <w:r w:rsidR="00964D38" w:rsidRPr="004A16D7">
          <w:rPr>
            <w:rFonts w:ascii="Arial" w:hAnsi="Arial" w:cs="Arial"/>
            <w:sz w:val="20"/>
            <w:szCs w:val="20"/>
          </w:rPr>
          <w:instrText xml:space="preserve"> PAGE   \* MERGEFORMAT </w:instrText>
        </w:r>
        <w:r w:rsidR="00964D38" w:rsidRPr="004A16D7">
          <w:rPr>
            <w:rFonts w:ascii="Arial" w:hAnsi="Arial" w:cs="Arial"/>
            <w:sz w:val="20"/>
            <w:szCs w:val="20"/>
          </w:rPr>
          <w:fldChar w:fldCharType="separate"/>
        </w:r>
        <w:r w:rsidR="00964D38">
          <w:rPr>
            <w:rFonts w:ascii="Arial" w:hAnsi="Arial" w:cs="Arial"/>
            <w:noProof/>
            <w:sz w:val="20"/>
            <w:szCs w:val="20"/>
          </w:rPr>
          <w:t>2</w:t>
        </w:r>
        <w:r w:rsidR="00964D38"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C4E17" w14:textId="77777777" w:rsidR="00964D38" w:rsidRDefault="00964D38">
    <w:pPr>
      <w:pStyle w:val="Footer"/>
    </w:pPr>
  </w:p>
  <w:p w14:paraId="0C3C9456" w14:textId="77777777" w:rsidR="00964D38" w:rsidRPr="00954AE9" w:rsidRDefault="00964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BE696" w14:textId="77777777" w:rsidR="00F01858" w:rsidRDefault="00F01858" w:rsidP="007C3D8C">
      <w:r>
        <w:separator/>
      </w:r>
    </w:p>
  </w:footnote>
  <w:footnote w:type="continuationSeparator" w:id="0">
    <w:p w14:paraId="414B2E53" w14:textId="77777777" w:rsidR="00F01858" w:rsidRDefault="00F01858" w:rsidP="007C3D8C">
      <w:r>
        <w:continuationSeparator/>
      </w:r>
    </w:p>
  </w:footnote>
  <w:footnote w:id="1">
    <w:p w14:paraId="0F7F5F54" w14:textId="271F1085" w:rsidR="00830727" w:rsidRPr="001C4777" w:rsidRDefault="00830727" w:rsidP="00A44845">
      <w:pPr>
        <w:pStyle w:val="EndnoteText"/>
        <w:rPr>
          <w:rFonts w:ascii="Arial" w:hAnsi="Arial" w:cs="Arial"/>
          <w:sz w:val="16"/>
          <w:szCs w:val="16"/>
        </w:rPr>
      </w:pPr>
      <w:r w:rsidRPr="001C4777">
        <w:rPr>
          <w:rStyle w:val="FootnoteReference"/>
          <w:rFonts w:ascii="Arial" w:hAnsi="Arial" w:cs="Arial"/>
          <w:sz w:val="16"/>
          <w:szCs w:val="16"/>
        </w:rPr>
        <w:footnoteRef/>
      </w:r>
      <w:r w:rsidRPr="001C4777">
        <w:rPr>
          <w:rFonts w:ascii="Arial" w:hAnsi="Arial" w:cs="Arial"/>
          <w:sz w:val="16"/>
          <w:szCs w:val="16"/>
        </w:rPr>
        <w:t xml:space="preserve"> </w:t>
      </w:r>
      <w:r w:rsidR="00F05138" w:rsidRPr="001C4777">
        <w:rPr>
          <w:rFonts w:ascii="Arial" w:hAnsi="Arial" w:cs="Arial"/>
          <w:sz w:val="16"/>
          <w:szCs w:val="16"/>
        </w:rPr>
        <w:t xml:space="preserve">Paaiškinimas. Skaičiavimai atliekami dviem </w:t>
      </w:r>
      <w:proofErr w:type="spellStart"/>
      <w:r w:rsidR="00D21FA4" w:rsidRPr="001C4777">
        <w:rPr>
          <w:rFonts w:ascii="Arial" w:hAnsi="Arial" w:cs="Arial"/>
          <w:sz w:val="16"/>
          <w:szCs w:val="16"/>
        </w:rPr>
        <w:t>auto</w:t>
      </w:r>
      <w:r w:rsidR="00F05138" w:rsidRPr="001C4777">
        <w:rPr>
          <w:rFonts w:ascii="Arial" w:hAnsi="Arial" w:cs="Arial"/>
          <w:sz w:val="16"/>
          <w:szCs w:val="16"/>
        </w:rPr>
        <w:t>transformatoriams</w:t>
      </w:r>
      <w:proofErr w:type="spellEnd"/>
      <w:r w:rsidR="00F05138" w:rsidRPr="001C4777">
        <w:rPr>
          <w:rFonts w:ascii="Arial" w:hAnsi="Arial" w:cs="Arial"/>
          <w:sz w:val="16"/>
          <w:szCs w:val="16"/>
        </w:rPr>
        <w:t xml:space="preserve">, nes 330/220/10 </w:t>
      </w:r>
      <w:proofErr w:type="spellStart"/>
      <w:r w:rsidR="00F05138" w:rsidRPr="001C4777">
        <w:rPr>
          <w:rFonts w:ascii="Arial" w:hAnsi="Arial" w:cs="Arial"/>
          <w:sz w:val="16"/>
          <w:szCs w:val="16"/>
        </w:rPr>
        <w:t>kV</w:t>
      </w:r>
      <w:proofErr w:type="spellEnd"/>
      <w:r w:rsidR="00F05138" w:rsidRPr="001C4777">
        <w:rPr>
          <w:rFonts w:ascii="Arial" w:hAnsi="Arial" w:cs="Arial"/>
          <w:sz w:val="16"/>
          <w:szCs w:val="16"/>
        </w:rPr>
        <w:t xml:space="preserve">, 350 MVA </w:t>
      </w:r>
      <w:proofErr w:type="spellStart"/>
      <w:r w:rsidR="00F05138" w:rsidRPr="001C4777">
        <w:rPr>
          <w:rFonts w:ascii="Arial" w:hAnsi="Arial" w:cs="Arial"/>
          <w:sz w:val="16"/>
          <w:szCs w:val="16"/>
        </w:rPr>
        <w:t>autotransformatoriai</w:t>
      </w:r>
      <w:proofErr w:type="spellEnd"/>
      <w:r w:rsidR="00F05138" w:rsidRPr="001C4777">
        <w:rPr>
          <w:rFonts w:ascii="Arial" w:hAnsi="Arial" w:cs="Arial"/>
          <w:sz w:val="16"/>
          <w:szCs w:val="16"/>
        </w:rPr>
        <w:t xml:space="preserve"> </w:t>
      </w:r>
      <w:r w:rsidR="002D680A" w:rsidRPr="001C4777">
        <w:rPr>
          <w:rFonts w:ascii="Arial" w:hAnsi="Arial" w:cs="Arial"/>
          <w:sz w:val="16"/>
          <w:szCs w:val="16"/>
        </w:rPr>
        <w:t xml:space="preserve">veiks </w:t>
      </w:r>
      <w:r w:rsidR="00F05138" w:rsidRPr="001C4777">
        <w:rPr>
          <w:rFonts w:ascii="Arial" w:hAnsi="Arial" w:cs="Arial"/>
          <w:sz w:val="16"/>
          <w:szCs w:val="16"/>
        </w:rPr>
        <w:t>vienu metu, o trečiasis bus rezerve.</w:t>
      </w:r>
    </w:p>
  </w:footnote>
  <w:footnote w:id="2">
    <w:p w14:paraId="6BA360E5" w14:textId="013B9E25" w:rsidR="00DB7827" w:rsidRPr="00A44845" w:rsidRDefault="00DB7827">
      <w:pPr>
        <w:pStyle w:val="FootnoteText"/>
        <w:rPr>
          <w:rFonts w:ascii="Arial" w:hAnsi="Arial" w:cs="Arial"/>
          <w:sz w:val="16"/>
          <w:szCs w:val="16"/>
          <w:lang w:val="en-US"/>
        </w:rPr>
      </w:pPr>
      <w:r w:rsidRPr="00A44845">
        <w:rPr>
          <w:rStyle w:val="FootnoteReference"/>
          <w:rFonts w:ascii="Arial" w:hAnsi="Arial" w:cs="Arial"/>
          <w:sz w:val="16"/>
          <w:szCs w:val="16"/>
          <w:lang w:val="en-US"/>
        </w:rPr>
        <w:footnoteRef/>
      </w:r>
      <w:r w:rsidRPr="00A44845">
        <w:rPr>
          <w:rFonts w:ascii="Arial" w:hAnsi="Arial" w:cs="Arial"/>
          <w:sz w:val="16"/>
          <w:szCs w:val="16"/>
          <w:lang w:val="en-US"/>
        </w:rPr>
        <w:t xml:space="preserve"> </w:t>
      </w:r>
      <w:r w:rsidR="00F05138" w:rsidRPr="00A44845">
        <w:rPr>
          <w:rFonts w:ascii="Arial" w:hAnsi="Arial" w:cs="Arial"/>
          <w:sz w:val="16"/>
          <w:szCs w:val="16"/>
          <w:lang w:val="en-US"/>
        </w:rPr>
        <w:t xml:space="preserve">Explanation. The calculations are performed for two </w:t>
      </w:r>
      <w:r w:rsidR="00D21FA4" w:rsidRPr="00A44845">
        <w:rPr>
          <w:rFonts w:ascii="Arial" w:hAnsi="Arial" w:cs="Arial"/>
          <w:sz w:val="16"/>
          <w:szCs w:val="16"/>
          <w:lang w:val="en-US"/>
        </w:rPr>
        <w:t>auto</w:t>
      </w:r>
      <w:r w:rsidR="00F05138" w:rsidRPr="00A44845">
        <w:rPr>
          <w:rFonts w:ascii="Arial" w:hAnsi="Arial" w:cs="Arial"/>
          <w:sz w:val="16"/>
          <w:szCs w:val="16"/>
          <w:lang w:val="en-US"/>
        </w:rPr>
        <w:t xml:space="preserve">transformers, as the 330/220/10 kV, 350 MVA autotransformers will </w:t>
      </w:r>
      <w:r w:rsidR="007E50A0" w:rsidRPr="00A44845">
        <w:rPr>
          <w:rFonts w:ascii="Arial" w:hAnsi="Arial" w:cs="Arial"/>
          <w:sz w:val="16"/>
          <w:szCs w:val="16"/>
          <w:lang w:val="en-US"/>
        </w:rPr>
        <w:t xml:space="preserve">be in operation </w:t>
      </w:r>
      <w:r w:rsidR="00F05138" w:rsidRPr="00A44845">
        <w:rPr>
          <w:rFonts w:ascii="Arial" w:hAnsi="Arial" w:cs="Arial"/>
          <w:sz w:val="16"/>
          <w:szCs w:val="16"/>
          <w:lang w:val="en-US"/>
        </w:rPr>
        <w:t>simultaneously, while the third one will be in reserve</w:t>
      </w:r>
      <w:r w:rsidR="00A44845" w:rsidRPr="00A44845">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47323" w14:textId="77777777" w:rsidR="00964D38" w:rsidRPr="00EE478D" w:rsidRDefault="00964D38">
    <w:pPr>
      <w:pStyle w:val="Header"/>
      <w:spacing w:line="120" w:lineRule="auto"/>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4D86"/>
    <w:multiLevelType w:val="hybridMultilevel"/>
    <w:tmpl w:val="DFE8426E"/>
    <w:lvl w:ilvl="0" w:tplc="BBC4DD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AA5D8B"/>
    <w:multiLevelType w:val="hybridMultilevel"/>
    <w:tmpl w:val="2E0CFF88"/>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rPr>
        <w:rFonts w:cs="Times New Roman"/>
      </w:rPr>
    </w:lvl>
    <w:lvl w:ilvl="2" w:tplc="0427001B">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2" w15:restartNumberingAfterBreak="0">
    <w:nsid w:val="369527DB"/>
    <w:multiLevelType w:val="hybridMultilevel"/>
    <w:tmpl w:val="8E446868"/>
    <w:lvl w:ilvl="0" w:tplc="6EB483C6">
      <w:start w:val="2"/>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3B404D"/>
    <w:multiLevelType w:val="hybridMultilevel"/>
    <w:tmpl w:val="3588FA30"/>
    <w:lvl w:ilvl="0" w:tplc="853A699A">
      <w:start w:val="1"/>
      <w:numFmt w:val="upperRoman"/>
      <w:lvlText w:val="%1."/>
      <w:lvlJc w:val="left"/>
      <w:pPr>
        <w:ind w:left="102" w:hanging="185"/>
      </w:pPr>
      <w:rPr>
        <w:rFonts w:ascii="Trebuchet MS" w:eastAsia="Trebuchet MS" w:hAnsi="Trebuchet MS" w:cs="Trebuchet MS" w:hint="default"/>
        <w:b/>
        <w:bCs/>
        <w:spacing w:val="-1"/>
        <w:w w:val="99"/>
        <w:sz w:val="20"/>
        <w:szCs w:val="20"/>
        <w:lang w:val="lt-LT" w:eastAsia="lt-LT" w:bidi="lt-LT"/>
      </w:rPr>
    </w:lvl>
    <w:lvl w:ilvl="1" w:tplc="C9DC8EE4">
      <w:numFmt w:val="bullet"/>
      <w:lvlText w:val="-"/>
      <w:lvlJc w:val="left"/>
      <w:pPr>
        <w:ind w:left="1182" w:hanging="360"/>
      </w:pPr>
      <w:rPr>
        <w:rFonts w:ascii="Times New Roman" w:eastAsia="Times New Roman" w:hAnsi="Times New Roman" w:cs="Times New Roman" w:hint="default"/>
        <w:w w:val="99"/>
        <w:sz w:val="20"/>
        <w:szCs w:val="20"/>
        <w:lang w:val="lt-LT" w:eastAsia="lt-LT" w:bidi="lt-LT"/>
      </w:rPr>
    </w:lvl>
    <w:lvl w:ilvl="2" w:tplc="531CF3C8">
      <w:numFmt w:val="bullet"/>
      <w:lvlText w:val="•"/>
      <w:lvlJc w:val="left"/>
      <w:pPr>
        <w:ind w:left="2145" w:hanging="360"/>
      </w:pPr>
      <w:rPr>
        <w:rFonts w:hint="default"/>
        <w:lang w:val="lt-LT" w:eastAsia="lt-LT" w:bidi="lt-LT"/>
      </w:rPr>
    </w:lvl>
    <w:lvl w:ilvl="3" w:tplc="F8CAF242">
      <w:numFmt w:val="bullet"/>
      <w:lvlText w:val="•"/>
      <w:lvlJc w:val="left"/>
      <w:pPr>
        <w:ind w:left="3110" w:hanging="360"/>
      </w:pPr>
      <w:rPr>
        <w:rFonts w:hint="default"/>
        <w:lang w:val="lt-LT" w:eastAsia="lt-LT" w:bidi="lt-LT"/>
      </w:rPr>
    </w:lvl>
    <w:lvl w:ilvl="4" w:tplc="6122AF8E">
      <w:numFmt w:val="bullet"/>
      <w:lvlText w:val="•"/>
      <w:lvlJc w:val="left"/>
      <w:pPr>
        <w:ind w:left="4075" w:hanging="360"/>
      </w:pPr>
      <w:rPr>
        <w:rFonts w:hint="default"/>
        <w:lang w:val="lt-LT" w:eastAsia="lt-LT" w:bidi="lt-LT"/>
      </w:rPr>
    </w:lvl>
    <w:lvl w:ilvl="5" w:tplc="5B289908">
      <w:numFmt w:val="bullet"/>
      <w:lvlText w:val="•"/>
      <w:lvlJc w:val="left"/>
      <w:pPr>
        <w:ind w:left="5040" w:hanging="360"/>
      </w:pPr>
      <w:rPr>
        <w:rFonts w:hint="default"/>
        <w:lang w:val="lt-LT" w:eastAsia="lt-LT" w:bidi="lt-LT"/>
      </w:rPr>
    </w:lvl>
    <w:lvl w:ilvl="6" w:tplc="54A6C548">
      <w:numFmt w:val="bullet"/>
      <w:lvlText w:val="•"/>
      <w:lvlJc w:val="left"/>
      <w:pPr>
        <w:ind w:left="6005" w:hanging="360"/>
      </w:pPr>
      <w:rPr>
        <w:rFonts w:hint="default"/>
        <w:lang w:val="lt-LT" w:eastAsia="lt-LT" w:bidi="lt-LT"/>
      </w:rPr>
    </w:lvl>
    <w:lvl w:ilvl="7" w:tplc="1660D8A4">
      <w:numFmt w:val="bullet"/>
      <w:lvlText w:val="•"/>
      <w:lvlJc w:val="left"/>
      <w:pPr>
        <w:ind w:left="6970" w:hanging="360"/>
      </w:pPr>
      <w:rPr>
        <w:rFonts w:hint="default"/>
        <w:lang w:val="lt-LT" w:eastAsia="lt-LT" w:bidi="lt-LT"/>
      </w:rPr>
    </w:lvl>
    <w:lvl w:ilvl="8" w:tplc="906C09CA">
      <w:numFmt w:val="bullet"/>
      <w:lvlText w:val="•"/>
      <w:lvlJc w:val="left"/>
      <w:pPr>
        <w:ind w:left="7936" w:hanging="360"/>
      </w:pPr>
      <w:rPr>
        <w:rFonts w:hint="default"/>
        <w:lang w:val="lt-LT" w:eastAsia="lt-LT" w:bidi="lt-LT"/>
      </w:rPr>
    </w:lvl>
  </w:abstractNum>
  <w:abstractNum w:abstractNumId="4" w15:restartNumberingAfterBreak="0">
    <w:nsid w:val="63322F10"/>
    <w:multiLevelType w:val="hybridMultilevel"/>
    <w:tmpl w:val="053C1784"/>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6BA6174E"/>
    <w:multiLevelType w:val="hybridMultilevel"/>
    <w:tmpl w:val="0AA4AD28"/>
    <w:lvl w:ilvl="0" w:tplc="5C188054">
      <w:start w:val="1"/>
      <w:numFmt w:val="decimal"/>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757E3713"/>
    <w:multiLevelType w:val="hybridMultilevel"/>
    <w:tmpl w:val="1C4A8D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16034300">
    <w:abstractNumId w:val="1"/>
  </w:num>
  <w:num w:numId="2" w16cid:durableId="739837092">
    <w:abstractNumId w:val="4"/>
  </w:num>
  <w:num w:numId="3" w16cid:durableId="2870496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9778308">
    <w:abstractNumId w:val="5"/>
  </w:num>
  <w:num w:numId="5" w16cid:durableId="1434863471">
    <w:abstractNumId w:val="2"/>
  </w:num>
  <w:num w:numId="6" w16cid:durableId="488712439">
    <w:abstractNumId w:val="3"/>
  </w:num>
  <w:num w:numId="7" w16cid:durableId="143200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8C"/>
    <w:rsid w:val="000001E8"/>
    <w:rsid w:val="00002281"/>
    <w:rsid w:val="000155E1"/>
    <w:rsid w:val="000267BC"/>
    <w:rsid w:val="00035C0A"/>
    <w:rsid w:val="00042BA6"/>
    <w:rsid w:val="000433F7"/>
    <w:rsid w:val="000666D1"/>
    <w:rsid w:val="000767DF"/>
    <w:rsid w:val="00095D3E"/>
    <w:rsid w:val="00097AE0"/>
    <w:rsid w:val="000A7687"/>
    <w:rsid w:val="000B32D4"/>
    <w:rsid w:val="000C77DD"/>
    <w:rsid w:val="000D42C5"/>
    <w:rsid w:val="00113956"/>
    <w:rsid w:val="00125205"/>
    <w:rsid w:val="00125D3B"/>
    <w:rsid w:val="00130909"/>
    <w:rsid w:val="001413D1"/>
    <w:rsid w:val="00152105"/>
    <w:rsid w:val="00181813"/>
    <w:rsid w:val="00182D22"/>
    <w:rsid w:val="00191877"/>
    <w:rsid w:val="001A364D"/>
    <w:rsid w:val="001A5543"/>
    <w:rsid w:val="001B6FCE"/>
    <w:rsid w:val="001C0131"/>
    <w:rsid w:val="001C4777"/>
    <w:rsid w:val="001F42C1"/>
    <w:rsid w:val="00203015"/>
    <w:rsid w:val="00214C53"/>
    <w:rsid w:val="00221B5C"/>
    <w:rsid w:val="0023310D"/>
    <w:rsid w:val="00240271"/>
    <w:rsid w:val="002422E2"/>
    <w:rsid w:val="00271AE6"/>
    <w:rsid w:val="00274C21"/>
    <w:rsid w:val="002813A7"/>
    <w:rsid w:val="00285301"/>
    <w:rsid w:val="0028718F"/>
    <w:rsid w:val="00295C0F"/>
    <w:rsid w:val="002C123C"/>
    <w:rsid w:val="002C1E57"/>
    <w:rsid w:val="002D680A"/>
    <w:rsid w:val="002F58FC"/>
    <w:rsid w:val="002F712C"/>
    <w:rsid w:val="00331B43"/>
    <w:rsid w:val="00354AD9"/>
    <w:rsid w:val="0036223A"/>
    <w:rsid w:val="00377223"/>
    <w:rsid w:val="003E09EC"/>
    <w:rsid w:val="003F32BC"/>
    <w:rsid w:val="00407118"/>
    <w:rsid w:val="00420E2F"/>
    <w:rsid w:val="004452C0"/>
    <w:rsid w:val="00477788"/>
    <w:rsid w:val="00481C36"/>
    <w:rsid w:val="004C1C10"/>
    <w:rsid w:val="004F695E"/>
    <w:rsid w:val="00500076"/>
    <w:rsid w:val="00507A1B"/>
    <w:rsid w:val="00535077"/>
    <w:rsid w:val="005527EF"/>
    <w:rsid w:val="00557B0F"/>
    <w:rsid w:val="00557D69"/>
    <w:rsid w:val="0057015F"/>
    <w:rsid w:val="005712CC"/>
    <w:rsid w:val="005736CE"/>
    <w:rsid w:val="00596BE2"/>
    <w:rsid w:val="005C39EC"/>
    <w:rsid w:val="005C5FC7"/>
    <w:rsid w:val="005D3510"/>
    <w:rsid w:val="005D4BA3"/>
    <w:rsid w:val="005E7E0F"/>
    <w:rsid w:val="005F033D"/>
    <w:rsid w:val="005F7896"/>
    <w:rsid w:val="00611A9F"/>
    <w:rsid w:val="00642DE1"/>
    <w:rsid w:val="00663518"/>
    <w:rsid w:val="00664464"/>
    <w:rsid w:val="006661D0"/>
    <w:rsid w:val="0067554C"/>
    <w:rsid w:val="00680FE4"/>
    <w:rsid w:val="006934D4"/>
    <w:rsid w:val="006B5800"/>
    <w:rsid w:val="006E0B6B"/>
    <w:rsid w:val="006F1E61"/>
    <w:rsid w:val="007112F0"/>
    <w:rsid w:val="0071161B"/>
    <w:rsid w:val="007215CE"/>
    <w:rsid w:val="00722195"/>
    <w:rsid w:val="007312E0"/>
    <w:rsid w:val="007618CF"/>
    <w:rsid w:val="007632AD"/>
    <w:rsid w:val="007956FA"/>
    <w:rsid w:val="007A38AF"/>
    <w:rsid w:val="007A68D5"/>
    <w:rsid w:val="007C3D8C"/>
    <w:rsid w:val="007C4F01"/>
    <w:rsid w:val="007E50A0"/>
    <w:rsid w:val="007F27F6"/>
    <w:rsid w:val="00830727"/>
    <w:rsid w:val="00841E17"/>
    <w:rsid w:val="0084692C"/>
    <w:rsid w:val="00852394"/>
    <w:rsid w:val="00857D93"/>
    <w:rsid w:val="00864329"/>
    <w:rsid w:val="008845D6"/>
    <w:rsid w:val="00886294"/>
    <w:rsid w:val="008916C7"/>
    <w:rsid w:val="008B0E17"/>
    <w:rsid w:val="008B35A4"/>
    <w:rsid w:val="008B7EBA"/>
    <w:rsid w:val="008C08AD"/>
    <w:rsid w:val="008D7F03"/>
    <w:rsid w:val="0090139B"/>
    <w:rsid w:val="00901E59"/>
    <w:rsid w:val="00903ED9"/>
    <w:rsid w:val="00931736"/>
    <w:rsid w:val="009429B9"/>
    <w:rsid w:val="00943A73"/>
    <w:rsid w:val="00954CE2"/>
    <w:rsid w:val="00963EAE"/>
    <w:rsid w:val="00964D38"/>
    <w:rsid w:val="009726A3"/>
    <w:rsid w:val="009761C3"/>
    <w:rsid w:val="009A6ECD"/>
    <w:rsid w:val="009D7A24"/>
    <w:rsid w:val="00A01097"/>
    <w:rsid w:val="00A11A9D"/>
    <w:rsid w:val="00A1359E"/>
    <w:rsid w:val="00A44845"/>
    <w:rsid w:val="00A50794"/>
    <w:rsid w:val="00A56A24"/>
    <w:rsid w:val="00A574AD"/>
    <w:rsid w:val="00A70FE2"/>
    <w:rsid w:val="00A72055"/>
    <w:rsid w:val="00A77F88"/>
    <w:rsid w:val="00A81CCF"/>
    <w:rsid w:val="00A848EF"/>
    <w:rsid w:val="00A92ABD"/>
    <w:rsid w:val="00AA6245"/>
    <w:rsid w:val="00AB16C4"/>
    <w:rsid w:val="00AB4FC1"/>
    <w:rsid w:val="00AD405B"/>
    <w:rsid w:val="00AE0AD5"/>
    <w:rsid w:val="00AE1E9F"/>
    <w:rsid w:val="00AF0B3C"/>
    <w:rsid w:val="00AF6397"/>
    <w:rsid w:val="00B0136A"/>
    <w:rsid w:val="00B07CE5"/>
    <w:rsid w:val="00B2190E"/>
    <w:rsid w:val="00B348F3"/>
    <w:rsid w:val="00B379F6"/>
    <w:rsid w:val="00B41529"/>
    <w:rsid w:val="00B63449"/>
    <w:rsid w:val="00B744B5"/>
    <w:rsid w:val="00B80A8C"/>
    <w:rsid w:val="00B815D0"/>
    <w:rsid w:val="00BA4567"/>
    <w:rsid w:val="00BB5ED4"/>
    <w:rsid w:val="00BD590F"/>
    <w:rsid w:val="00BE7F72"/>
    <w:rsid w:val="00C046AD"/>
    <w:rsid w:val="00C17BA4"/>
    <w:rsid w:val="00C25894"/>
    <w:rsid w:val="00C3512E"/>
    <w:rsid w:val="00C36DEC"/>
    <w:rsid w:val="00C56E9D"/>
    <w:rsid w:val="00C57D41"/>
    <w:rsid w:val="00C61C21"/>
    <w:rsid w:val="00C65C35"/>
    <w:rsid w:val="00C70A4B"/>
    <w:rsid w:val="00C757A2"/>
    <w:rsid w:val="00CB1A1F"/>
    <w:rsid w:val="00CC47F1"/>
    <w:rsid w:val="00CF270A"/>
    <w:rsid w:val="00D1632F"/>
    <w:rsid w:val="00D21FA4"/>
    <w:rsid w:val="00D22993"/>
    <w:rsid w:val="00D269E9"/>
    <w:rsid w:val="00D353D9"/>
    <w:rsid w:val="00D35F31"/>
    <w:rsid w:val="00D379D9"/>
    <w:rsid w:val="00D37CBF"/>
    <w:rsid w:val="00D43E67"/>
    <w:rsid w:val="00D46D20"/>
    <w:rsid w:val="00D5075F"/>
    <w:rsid w:val="00D62693"/>
    <w:rsid w:val="00D63EF7"/>
    <w:rsid w:val="00DA5F6D"/>
    <w:rsid w:val="00DB3DB0"/>
    <w:rsid w:val="00DB7827"/>
    <w:rsid w:val="00DC4F1A"/>
    <w:rsid w:val="00DE7333"/>
    <w:rsid w:val="00E15A9C"/>
    <w:rsid w:val="00E37C65"/>
    <w:rsid w:val="00E740A4"/>
    <w:rsid w:val="00E8313C"/>
    <w:rsid w:val="00E9579D"/>
    <w:rsid w:val="00EA3373"/>
    <w:rsid w:val="00EB03CE"/>
    <w:rsid w:val="00EB4879"/>
    <w:rsid w:val="00EC0CD3"/>
    <w:rsid w:val="00EC254E"/>
    <w:rsid w:val="00ED3B20"/>
    <w:rsid w:val="00EE1B40"/>
    <w:rsid w:val="00EE519F"/>
    <w:rsid w:val="00EE730E"/>
    <w:rsid w:val="00F01858"/>
    <w:rsid w:val="00F05138"/>
    <w:rsid w:val="00F33471"/>
    <w:rsid w:val="00F40D98"/>
    <w:rsid w:val="00F43F3C"/>
    <w:rsid w:val="00F57809"/>
    <w:rsid w:val="00F620F1"/>
    <w:rsid w:val="00F638B7"/>
    <w:rsid w:val="00F77837"/>
    <w:rsid w:val="00F97034"/>
    <w:rsid w:val="00FB0148"/>
    <w:rsid w:val="00FB0F4D"/>
    <w:rsid w:val="00FB35DE"/>
    <w:rsid w:val="00FB3CC3"/>
    <w:rsid w:val="00FB43BC"/>
    <w:rsid w:val="00FB4A5A"/>
    <w:rsid w:val="00FB7991"/>
    <w:rsid w:val="00FC0DE4"/>
    <w:rsid w:val="2D5F4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D0379A"/>
  <w15:chartTrackingRefBased/>
  <w15:docId w15:val="{631DF0E7-F41E-4BBB-8413-A6D927C01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D8C"/>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3D8C"/>
    <w:pPr>
      <w:tabs>
        <w:tab w:val="center" w:pos="4153"/>
        <w:tab w:val="right" w:pos="8306"/>
      </w:tabs>
    </w:pPr>
  </w:style>
  <w:style w:type="character" w:customStyle="1" w:styleId="HeaderChar">
    <w:name w:val="Header Char"/>
    <w:basedOn w:val="DefaultParagraphFont"/>
    <w:link w:val="Header"/>
    <w:uiPriority w:val="99"/>
    <w:rsid w:val="007C3D8C"/>
    <w:rPr>
      <w:rFonts w:ascii="Times New Roman" w:eastAsia="Times New Roman" w:hAnsi="Times New Roman" w:cs="Times New Roman"/>
      <w:sz w:val="24"/>
      <w:szCs w:val="24"/>
      <w:lang w:val="lt-LT"/>
    </w:rPr>
  </w:style>
  <w:style w:type="paragraph" w:styleId="Footer">
    <w:name w:val="footer"/>
    <w:basedOn w:val="Normal"/>
    <w:link w:val="FooterChar"/>
    <w:uiPriority w:val="99"/>
    <w:rsid w:val="007C3D8C"/>
    <w:pPr>
      <w:tabs>
        <w:tab w:val="center" w:pos="4153"/>
        <w:tab w:val="right" w:pos="8306"/>
      </w:tabs>
    </w:pPr>
  </w:style>
  <w:style w:type="character" w:customStyle="1" w:styleId="FooterChar">
    <w:name w:val="Footer Char"/>
    <w:basedOn w:val="DefaultParagraphFont"/>
    <w:link w:val="Footer"/>
    <w:uiPriority w:val="99"/>
    <w:rsid w:val="007C3D8C"/>
    <w:rPr>
      <w:rFonts w:ascii="Times New Roman" w:eastAsia="Times New Roman" w:hAnsi="Times New Roman" w:cs="Times New Roman"/>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1"/>
    <w:qFormat/>
    <w:rsid w:val="007C3D8C"/>
    <w:pPr>
      <w:ind w:left="720"/>
      <w:contextualSpacing/>
    </w:pPr>
  </w:style>
  <w:style w:type="character" w:styleId="CommentReference">
    <w:name w:val="annotation reference"/>
    <w:basedOn w:val="DefaultParagraphFont"/>
    <w:uiPriority w:val="99"/>
    <w:unhideWhenUsed/>
    <w:rsid w:val="007C3D8C"/>
    <w:rPr>
      <w:sz w:val="16"/>
      <w:szCs w:val="16"/>
    </w:rPr>
  </w:style>
  <w:style w:type="paragraph" w:styleId="CommentText">
    <w:name w:val="annotation text"/>
    <w:basedOn w:val="Normal"/>
    <w:link w:val="CommentTextChar"/>
    <w:unhideWhenUsed/>
    <w:rsid w:val="007C3D8C"/>
    <w:rPr>
      <w:sz w:val="20"/>
      <w:szCs w:val="20"/>
    </w:rPr>
  </w:style>
  <w:style w:type="character" w:customStyle="1" w:styleId="CommentTextChar">
    <w:name w:val="Comment Text Char"/>
    <w:basedOn w:val="DefaultParagraphFont"/>
    <w:link w:val="CommentText"/>
    <w:rsid w:val="007C3D8C"/>
    <w:rPr>
      <w:rFonts w:ascii="Times New Roman" w:eastAsia="Times New Roman" w:hAnsi="Times New Roman" w:cs="Times New Roman"/>
      <w:sz w:val="20"/>
      <w:szCs w:val="20"/>
      <w:lang w:val="lt-LT"/>
    </w:rPr>
  </w:style>
  <w:style w:type="table" w:styleId="TableGrid">
    <w:name w:val="Table Grid"/>
    <w:aliases w:val="CV table"/>
    <w:basedOn w:val="TableNormal"/>
    <w:uiPriority w:val="39"/>
    <w:rsid w:val="007C3D8C"/>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C3D8C"/>
    <w:rPr>
      <w:rFonts w:ascii="Times New Roman" w:eastAsia="Times New Roman" w:hAnsi="Times New Roman" w:cs="Times New Roman"/>
      <w:sz w:val="24"/>
      <w:szCs w:val="24"/>
      <w:lang w:val="lt-LT"/>
    </w:rPr>
  </w:style>
  <w:style w:type="paragraph" w:styleId="Revision">
    <w:name w:val="Revision"/>
    <w:hidden/>
    <w:uiPriority w:val="99"/>
    <w:semiHidden/>
    <w:rsid w:val="00D43E67"/>
    <w:pPr>
      <w:spacing w:after="0" w:line="240" w:lineRule="auto"/>
    </w:pPr>
    <w:rPr>
      <w:rFonts w:ascii="Times New Roman" w:eastAsia="Times New Roman" w:hAnsi="Times New Roman" w:cs="Times New Roman"/>
      <w:sz w:val="24"/>
      <w:szCs w:val="24"/>
      <w:lang w:val="lt-LT"/>
    </w:rPr>
  </w:style>
  <w:style w:type="paragraph" w:styleId="CommentSubject">
    <w:name w:val="annotation subject"/>
    <w:basedOn w:val="CommentText"/>
    <w:next w:val="CommentText"/>
    <w:link w:val="CommentSubjectChar"/>
    <w:uiPriority w:val="99"/>
    <w:semiHidden/>
    <w:unhideWhenUsed/>
    <w:rsid w:val="00EB4879"/>
    <w:rPr>
      <w:b/>
      <w:bCs/>
    </w:rPr>
  </w:style>
  <w:style w:type="character" w:customStyle="1" w:styleId="CommentSubjectChar">
    <w:name w:val="Comment Subject Char"/>
    <w:basedOn w:val="CommentTextChar"/>
    <w:link w:val="CommentSubject"/>
    <w:uiPriority w:val="99"/>
    <w:semiHidden/>
    <w:rsid w:val="00EB4879"/>
    <w:rPr>
      <w:rFonts w:ascii="Times New Roman" w:eastAsia="Times New Roman" w:hAnsi="Times New Roman" w:cs="Times New Roman"/>
      <w:b/>
      <w:bCs/>
      <w:sz w:val="20"/>
      <w:szCs w:val="20"/>
      <w:lang w:val="lt-LT"/>
    </w:rPr>
  </w:style>
  <w:style w:type="character" w:customStyle="1" w:styleId="Numatytasispastraiposriftas1">
    <w:name w:val="Numatytasis pastraipos šriftas1"/>
    <w:rsid w:val="00E9579D"/>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1"/>
    <w:locked/>
    <w:rsid w:val="00A1359E"/>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1"/>
    <w:unhideWhenUsed/>
    <w:qFormat/>
    <w:rsid w:val="00A1359E"/>
    <w:pPr>
      <w:ind w:firstLine="567"/>
      <w:jc w:val="both"/>
    </w:pPr>
    <w:rPr>
      <w:szCs w:val="20"/>
      <w:lang w:val="en-US"/>
    </w:rPr>
  </w:style>
  <w:style w:type="character" w:customStyle="1" w:styleId="BodyTextChar1">
    <w:name w:val="Body Text Char1"/>
    <w:basedOn w:val="DefaultParagraphFont"/>
    <w:uiPriority w:val="99"/>
    <w:semiHidden/>
    <w:rsid w:val="00A1359E"/>
    <w:rPr>
      <w:rFonts w:ascii="Times New Roman" w:eastAsia="Times New Roman" w:hAnsi="Times New Roman" w:cs="Times New Roman"/>
      <w:sz w:val="24"/>
      <w:szCs w:val="24"/>
      <w:lang w:val="lt-LT"/>
    </w:rPr>
  </w:style>
  <w:style w:type="paragraph" w:customStyle="1" w:styleId="TableParagraph">
    <w:name w:val="Table Paragraph"/>
    <w:basedOn w:val="Normal"/>
    <w:uiPriority w:val="1"/>
    <w:qFormat/>
    <w:rsid w:val="00B0136A"/>
    <w:pPr>
      <w:widowControl w:val="0"/>
      <w:autoSpaceDE w:val="0"/>
      <w:autoSpaceDN w:val="0"/>
      <w:ind w:left="107"/>
      <w:jc w:val="center"/>
    </w:pPr>
    <w:rPr>
      <w:rFonts w:ascii="Trebuchet MS" w:eastAsia="Trebuchet MS" w:hAnsi="Trebuchet MS" w:cs="Trebuchet MS"/>
      <w:sz w:val="22"/>
      <w:szCs w:val="22"/>
      <w:lang w:eastAsia="lt-LT" w:bidi="lt-LT"/>
    </w:rPr>
  </w:style>
  <w:style w:type="paragraph" w:customStyle="1" w:styleId="Default">
    <w:name w:val="Default"/>
    <w:rsid w:val="00E8313C"/>
    <w:pPr>
      <w:autoSpaceDE w:val="0"/>
      <w:autoSpaceDN w:val="0"/>
      <w:adjustRightInd w:val="0"/>
      <w:spacing w:after="0" w:line="240" w:lineRule="auto"/>
    </w:pPr>
    <w:rPr>
      <w:rFonts w:ascii="Arial" w:hAnsi="Arial" w:cs="Arial"/>
      <w:color w:val="000000"/>
      <w:sz w:val="24"/>
      <w:szCs w:val="24"/>
      <w:lang w:val="lt-LT"/>
    </w:rPr>
  </w:style>
  <w:style w:type="character" w:customStyle="1" w:styleId="katex-mathml">
    <w:name w:val="katex-mathml"/>
    <w:basedOn w:val="DefaultParagraphFont"/>
    <w:rsid w:val="00A01097"/>
  </w:style>
  <w:style w:type="character" w:customStyle="1" w:styleId="mord">
    <w:name w:val="mord"/>
    <w:basedOn w:val="DefaultParagraphFont"/>
    <w:rsid w:val="00A01097"/>
  </w:style>
  <w:style w:type="character" w:customStyle="1" w:styleId="vlist-s">
    <w:name w:val="vlist-s"/>
    <w:basedOn w:val="DefaultParagraphFont"/>
    <w:rsid w:val="00A01097"/>
  </w:style>
  <w:style w:type="character" w:styleId="Mention">
    <w:name w:val="Mention"/>
    <w:basedOn w:val="DefaultParagraphFont"/>
    <w:uiPriority w:val="99"/>
    <w:unhideWhenUsed/>
    <w:rsid w:val="006E0B6B"/>
    <w:rPr>
      <w:color w:val="2B579A"/>
      <w:shd w:val="clear" w:color="auto" w:fill="E1DFDD"/>
    </w:rPr>
  </w:style>
  <w:style w:type="paragraph" w:styleId="EndnoteText">
    <w:name w:val="endnote text"/>
    <w:basedOn w:val="Normal"/>
    <w:link w:val="EndnoteTextChar"/>
    <w:uiPriority w:val="99"/>
    <w:unhideWhenUsed/>
    <w:rsid w:val="00214C53"/>
    <w:rPr>
      <w:sz w:val="20"/>
      <w:szCs w:val="20"/>
    </w:rPr>
  </w:style>
  <w:style w:type="character" w:customStyle="1" w:styleId="EndnoteTextChar">
    <w:name w:val="Endnote Text Char"/>
    <w:basedOn w:val="DefaultParagraphFont"/>
    <w:link w:val="EndnoteText"/>
    <w:uiPriority w:val="99"/>
    <w:rsid w:val="00214C53"/>
    <w:rPr>
      <w:rFonts w:ascii="Times New Roman" w:eastAsia="Times New Roman" w:hAnsi="Times New Roman" w:cs="Times New Roman"/>
      <w:sz w:val="20"/>
      <w:szCs w:val="20"/>
      <w:lang w:val="lt-LT"/>
    </w:rPr>
  </w:style>
  <w:style w:type="character" w:styleId="EndnoteReference">
    <w:name w:val="endnote reference"/>
    <w:basedOn w:val="DefaultParagraphFont"/>
    <w:uiPriority w:val="99"/>
    <w:semiHidden/>
    <w:unhideWhenUsed/>
    <w:rsid w:val="00214C53"/>
    <w:rPr>
      <w:vertAlign w:val="superscript"/>
    </w:rPr>
  </w:style>
  <w:style w:type="paragraph" w:styleId="FootnoteText">
    <w:name w:val="footnote text"/>
    <w:basedOn w:val="Normal"/>
    <w:link w:val="FootnoteTextChar"/>
    <w:uiPriority w:val="99"/>
    <w:semiHidden/>
    <w:unhideWhenUsed/>
    <w:rsid w:val="00A81CCF"/>
    <w:rPr>
      <w:sz w:val="20"/>
      <w:szCs w:val="20"/>
    </w:rPr>
  </w:style>
  <w:style w:type="character" w:customStyle="1" w:styleId="FootnoteTextChar">
    <w:name w:val="Footnote Text Char"/>
    <w:basedOn w:val="DefaultParagraphFont"/>
    <w:link w:val="FootnoteText"/>
    <w:uiPriority w:val="99"/>
    <w:semiHidden/>
    <w:rsid w:val="00A81CCF"/>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A81C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50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db478a-6c81-4b04-b1b4-c3abb414fd88">
      <Value>3172</Value>
    </TaxCatchAll>
    <lcf76f155ced4ddcb4097134ff3c332f xmlns="8605939f-1cfc-4471-a243-a7c05fd7152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3f8400e66b6044cda9a4397366056138">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44cc024e3505e793b22f65172386a6a6"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360CF0-9CBE-45C5-8BA3-C361C325778F}">
  <ds:schemaRefs>
    <ds:schemaRef ds:uri="http://schemas.microsoft.com/office/infopath/2007/PartnerControls"/>
    <ds:schemaRef ds:uri="http://purl.org/dc/terms/"/>
    <ds:schemaRef ds:uri="http://purl.org/dc/dcmitype/"/>
    <ds:schemaRef ds:uri="http://schemas.microsoft.com/office/2006/documentManagement/types"/>
    <ds:schemaRef ds:uri="http://schemas.openxmlformats.org/package/2006/metadata/core-properties"/>
    <ds:schemaRef ds:uri="04db478a-6c81-4b04-b1b4-c3abb414fd88"/>
    <ds:schemaRef ds:uri="8605939f-1cfc-4471-a243-a7c05fd71520"/>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73784BB5-68D2-4C3A-AA4A-E7F059C60CB6}">
  <ds:schemaRefs>
    <ds:schemaRef ds:uri="http://schemas.openxmlformats.org/officeDocument/2006/bibliography"/>
  </ds:schemaRefs>
</ds:datastoreItem>
</file>

<file path=customXml/itemProps3.xml><?xml version="1.0" encoding="utf-8"?>
<ds:datastoreItem xmlns:ds="http://schemas.openxmlformats.org/officeDocument/2006/customXml" ds:itemID="{F5FCD45E-CFF0-4502-851B-0B8141A027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002B07-E15A-4A30-825F-E8F5273AE400}">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1970</Words>
  <Characters>11792</Characters>
  <Application>Microsoft Office Word</Application>
  <DocSecurity>0</DocSecurity>
  <Lines>368</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13623</CharactersWithSpaces>
  <SharedDoc>false</SharedDoc>
  <HLinks>
    <vt:vector size="12" baseType="variant">
      <vt:variant>
        <vt:i4>1245281</vt:i4>
      </vt:variant>
      <vt:variant>
        <vt:i4>3</vt:i4>
      </vt:variant>
      <vt:variant>
        <vt:i4>0</vt:i4>
      </vt:variant>
      <vt:variant>
        <vt:i4>5</vt:i4>
      </vt:variant>
      <vt:variant>
        <vt:lpwstr>mailto:Nerijus.Maciolis@litgrid.eu</vt:lpwstr>
      </vt:variant>
      <vt:variant>
        <vt:lpwstr/>
      </vt:variant>
      <vt:variant>
        <vt:i4>1245281</vt:i4>
      </vt:variant>
      <vt:variant>
        <vt:i4>0</vt:i4>
      </vt:variant>
      <vt:variant>
        <vt:i4>0</vt:i4>
      </vt:variant>
      <vt:variant>
        <vt:i4>5</vt:i4>
      </vt:variant>
      <vt:variant>
        <vt:lpwstr>mailto:Nerijus.Maciolis@litgrid.eu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SPS 15 priedas_Ekonomiskai naudingiausio vertinimo metodika_ Methodology of the MEAT_PASTABOS</dc:title>
  <dc:subject/>
  <dc:creator>Agnietė Stankevičienė</dc:creator>
  <cp:keywords/>
  <dc:description/>
  <cp:lastModifiedBy>Agnietė Stankevičienė</cp:lastModifiedBy>
  <cp:revision>6</cp:revision>
  <dcterms:created xsi:type="dcterms:W3CDTF">2025-12-19T12:14:00Z</dcterms:created>
  <dcterms:modified xsi:type="dcterms:W3CDTF">2025-12-19T12:20:00Z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ActionId">
    <vt:lpwstr>08a822c8-0874-452c-8755-1d4930096cc8</vt:lpwstr>
  </property>
  <property fmtid="{D5CDD505-2E9C-101B-9397-08002B2CF9AE}" pid="3" name="MSIP_Label_32ae7b5d-0aac-474b-ae2b-02c331ef2874_SiteId">
    <vt:lpwstr>86bcf768-7bcf-4cd6-b041-b219988b7a9c</vt:lpwstr>
  </property>
  <property fmtid="{D5CDD505-2E9C-101B-9397-08002B2CF9AE}" pid="4" name="MSIP_Label_32ae7b5d-0aac-474b-ae2b-02c331ef2874_Method">
    <vt:lpwstr>Privileged</vt:lpwstr>
  </property>
  <property fmtid="{D5CDD505-2E9C-101B-9397-08002B2CF9AE}" pid="5" name="MediaServiceImageTags">
    <vt:lpwstr>
    </vt:lpwstr>
  </property>
  <property fmtid="{D5CDD505-2E9C-101B-9397-08002B2CF9AE}" pid="6" name="MSIP_Label_32ae7b5d-0aac-474b-ae2b-02c331ef2874_Enabled">
    <vt:lpwstr>true</vt:lpwstr>
  </property>
  <property fmtid="{D5CDD505-2E9C-101B-9397-08002B2CF9AE}" pid="7" name="DmsPermissionsDivisions">
    <vt:lpwstr>3172;#Europos infrastruktūros tinklų projektų skyrius|086caaef-2f30-4599-9ded-dd50b5dedc4b</vt:lpwstr>
  </property>
  <property fmtid="{D5CDD505-2E9C-101B-9397-08002B2CF9AE}" pid="8" name="ContentTypeId">
    <vt:lpwstr>0x010100FC41A968A2657F46AD156403FC2971AE</vt:lpwstr>
  </property>
  <property fmtid="{D5CDD505-2E9C-101B-9397-08002B2CF9AE}" pid="9" name="GrammarlyDocumentId">
    <vt:lpwstr>957a0aec39d33f87e3a51c683dba0bd32d58c5491264addef2983ca88c40329a</vt:lpwstr>
  </property>
  <property fmtid="{D5CDD505-2E9C-101B-9397-08002B2CF9AE}" pid="10" name="TaxCatchAll">
    <vt:lpwstr/>
  </property>
  <property fmtid="{D5CDD505-2E9C-101B-9397-08002B2CF9AE}" pid="11" name="DmsPermissionsUsers">
    <vt:lpwstr>1185;#Viktorija Arnašienė;#97;#Dalia Paužienė</vt:lpwstr>
  </property>
  <property fmtid="{D5CDD505-2E9C-101B-9397-08002B2CF9AE}" pid="12" name="MSIP_Label_32ae7b5d-0aac-474b-ae2b-02c331ef2874_Name">
    <vt:lpwstr>VIDINĖ</vt:lpwstr>
  </property>
  <property fmtid="{D5CDD505-2E9C-101B-9397-08002B2CF9AE}" pid="13" name="MSIP_Label_32ae7b5d-0aac-474b-ae2b-02c331ef2874_SetDate">
    <vt:lpwstr>2023-06-08T08:07:17Z</vt:lpwstr>
  </property>
  <property fmtid="{D5CDD505-2E9C-101B-9397-08002B2CF9AE}" pid="14" name="DmsCommChanPerm">
    <vt:lpwstr/>
  </property>
  <property fmtid="{D5CDD505-2E9C-101B-9397-08002B2CF9AE}" pid="15" name="DmsPermissionsConfid">
    <vt:bool>false</vt:bool>
  </property>
  <property fmtid="{D5CDD505-2E9C-101B-9397-08002B2CF9AE}" pid="16" name="MSIP_Label_32ae7b5d-0aac-474b-ae2b-02c331ef2874_ContentBits">
    <vt:lpwstr>0</vt:lpwstr>
  </property>
  <property fmtid="{D5CDD505-2E9C-101B-9397-08002B2CF9AE}" pid="17" name="docLang">
    <vt:lpwstr>en</vt:lpwstr>
  </property>
  <property fmtid="{D5CDD505-2E9C-101B-9397-08002B2CF9AE}" pid="18" name="DmsPermissionsFlags">
    <vt:lpwstr>,SECTRUE,</vt:lpwstr>
  </property>
  <property fmtid="{D5CDD505-2E9C-101B-9397-08002B2CF9AE}" pid="19" name="DmsDocPrepDocSendRegReal">
    <vt:bool>false</vt:bool>
  </property>
  <property fmtid="{D5CDD505-2E9C-101B-9397-08002B2CF9AE}" pid="20" name="DmsWaitingForSign">
    <vt:bool>false</vt:bool>
  </property>
  <property fmtid="{D5CDD505-2E9C-101B-9397-08002B2CF9AE}" pid="21" name="DmsSendingDocType">
    <vt:lpwstr/>
  </property>
  <property fmtid="{D5CDD505-2E9C-101B-9397-08002B2CF9AE}" pid="22" name="DmsCPVADocSubtype">
    <vt:lpwstr/>
  </property>
  <property fmtid="{D5CDD505-2E9C-101B-9397-08002B2CF9AE}" pid="23" name="DmsCPVADocProgram">
    <vt:lpwstr/>
  </property>
  <property fmtid="{D5CDD505-2E9C-101B-9397-08002B2CF9AE}" pid="24" name="DmsRegDoc">
    <vt:lpwstr>332487</vt:lpwstr>
  </property>
  <property fmtid="{D5CDD505-2E9C-101B-9397-08002B2CF9AE}" pid="25" name="DmsResponsibleDivision">
    <vt:lpwstr/>
  </property>
  <property fmtid="{D5CDD505-2E9C-101B-9397-08002B2CF9AE}" pid="26" name="DmsOrganizerDivision">
    <vt:lpwstr/>
  </property>
  <property fmtid="{D5CDD505-2E9C-101B-9397-08002B2CF9AE}" pid="27" name="OLD_DMSPERMISSIONSCONFID_VALUE">
    <vt:lpwstr>False_</vt:lpwstr>
  </property>
</Properties>
</file>